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ettings.xml" ContentType="application/vnd.openxmlformats-officedocument.wordprocessingml.setting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48"/>
              </w:rPr>
              <w:t xml:space="preserve">Приказ Минздрава России от 21.08.2025 N 496н</w:t>
              <w:br/>
              <w:t xml:space="preserve">"Об утверждении Правил обязательного медицинского страхования"</w:t>
              <w:br/>
              <w:t xml:space="preserve">(Зарегистрировано в Минюсте России 29.08.2025 N 83407)</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4" w:tooltip="Ссылка на КонсультантПлюс">
              <w:r>
                <w:rPr>
                  <w:sz w:val="28"/>
                  <w:color w:val="0000ff"/>
                  <w:b w:val="on"/>
                </w:rPr>
                <w:t xml:space="preserve">КонсультантПлюс</w:t>
                <w:br/>
                <w:br/>
              </w:r>
            </w:hyperlink>
            <w:hyperlink w:history="0" r:id="rId5" w:tooltip="Ссылка на КонсультантПлюс">
              <w:r>
                <w:rPr>
                  <w:sz w:val="28"/>
                  <w:color w:val="0000ff"/>
                  <w:b w:val="on"/>
                </w:rPr>
                <w:t xml:space="preserve">www.consultant.ru</w:t>
              </w:r>
            </w:hyperlink>
            <w:r>
              <w:rPr>
                <w:sz w:val="28"/>
              </w:rPr>
              <w:br/>
              <w:br/>
              <w:t xml:space="preserve">Дата сохранения: 07.07.2026</w:t>
            </w:r>
            <w:r>
              <w:rPr>
                <w:sz w:val="28"/>
              </w:rPr>
              <w:br/>
              <w:t xml:space="preserve"> </w:t>
            </w:r>
          </w:p>
        </w:tc>
      </w:tr>
    </w:tbl>
    <w:p>
      <w:pPr>
        <w:sectPr>
          <w:pgSz w:w="11906" w:h="16838"/>
          <w:pgMar w:top="841" w:right="595" w:bottom="841" w:left="595" w:header="0" w:footer="0" w:gutter="0"/>
          <w:titlePg/>
        </w:sectPr>
      </w:pPr>
    </w:p>
    <w:p>
      <w:pPr>
        <w:pStyle w:val="0"/>
        <w:outlineLvl w:val="0"/>
        <w:jc w:val="both"/>
      </w:pPr>
      <w:r>
        <w:rPr>
          <w:sz w:val="24"/>
        </w:rPr>
      </w:r>
    </w:p>
    <w:p>
      <w:pPr>
        <w:pStyle w:val="0"/>
        <w:outlineLvl w:val="0"/>
      </w:pPr>
      <w:r>
        <w:rPr>
          <w:sz w:val="24"/>
        </w:rPr>
        <w:t xml:space="preserve">Зарегистрировано в Минюсте России 29 августа 2025 г. N 83407</w:t>
      </w:r>
    </w:p>
    <w:p>
      <w:pPr>
        <w:pStyle w:val="0"/>
        <w:jc w:val="both"/>
        <w:pBdr>
          <w:bottom w:val="single" w:sz="6" w:space="0" w:color="auto"/>
        </w:pBdr>
        <w:spacing w:before="100" w:after="100"/>
        <w:rPr>
          <w:sz w:val="2"/>
          <w:szCs w:val="2"/>
        </w:rPr>
      </w:pPr>
    </w:p>
    <w:p>
      <w:pPr>
        <w:pStyle w:val="0"/>
      </w:pPr>
      <w:r>
        <w:rPr>
          <w:sz w:val="24"/>
        </w:rPr>
      </w:r>
    </w:p>
    <w:p>
      <w:pPr>
        <w:pStyle w:val="2"/>
        <w:jc w:val="center"/>
      </w:pPr>
      <w:r>
        <w:rPr>
          <w:sz w:val="24"/>
        </w:rPr>
        <w:t xml:space="preserve">МИНИСТЕРСТВО ЗДРАВООХРАНЕНИЯ РОССИЙСКОЙ ФЕДЕРАЦИИ</w:t>
      </w:r>
    </w:p>
    <w:p>
      <w:pPr>
        <w:pStyle w:val="2"/>
        <w:jc w:val="center"/>
      </w:pPr>
      <w:r>
        <w:rPr>
          <w:sz w:val="24"/>
        </w:rPr>
      </w:r>
    </w:p>
    <w:p>
      <w:pPr>
        <w:pStyle w:val="2"/>
        <w:jc w:val="center"/>
      </w:pPr>
      <w:r>
        <w:rPr>
          <w:sz w:val="24"/>
        </w:rPr>
        <w:t xml:space="preserve">ПРИКАЗ</w:t>
      </w:r>
    </w:p>
    <w:p>
      <w:pPr>
        <w:pStyle w:val="2"/>
        <w:jc w:val="center"/>
      </w:pPr>
      <w:r>
        <w:rPr>
          <w:sz w:val="24"/>
        </w:rPr>
        <w:t xml:space="preserve">от 21 августа 2025 г. N 496н</w:t>
      </w:r>
    </w:p>
    <w:p>
      <w:pPr>
        <w:pStyle w:val="2"/>
        <w:jc w:val="center"/>
      </w:pPr>
      <w:r>
        <w:rPr>
          <w:sz w:val="24"/>
        </w:rPr>
      </w:r>
    </w:p>
    <w:p>
      <w:pPr>
        <w:pStyle w:val="2"/>
        <w:jc w:val="center"/>
      </w:pPr>
      <w:r>
        <w:rPr>
          <w:sz w:val="24"/>
        </w:rPr>
        <w:t xml:space="preserve">ОБ УТВЕРЖДЕНИИ ПРАВИЛ ОБЯЗАТЕЛЬНОГО МЕДИЦИНСКОГО СТРАХОВАНИЯ</w:t>
      </w:r>
    </w:p>
    <w:p>
      <w:pPr>
        <w:pStyle w:val="0"/>
        <w:ind w:firstLine="540"/>
        <w:jc w:val="both"/>
      </w:pPr>
      <w:r>
        <w:rPr>
          <w:sz w:val="24"/>
        </w:rPr>
      </w:r>
    </w:p>
    <w:p>
      <w:pPr>
        <w:pStyle w:val="0"/>
        <w:ind w:firstLine="540"/>
        <w:jc w:val="both"/>
      </w:pPr>
      <w:r>
        <w:rPr>
          <w:sz w:val="24"/>
        </w:rPr>
        <w:t xml:space="preserve">В соответствии с </w:t>
      </w:r>
      <w:hyperlink w:history="0" r:id="rId8" w:tooltip="Федеральный закон от 29.11.2010 N 326-ФЗ (ред. от 20.02.2026) &quot;Об обязательном медицинском страховании в Российской Федерации&quot; {КонсультантПлюс}">
        <w:r>
          <w:rPr>
            <w:sz w:val="24"/>
            <w:color w:val="0000ff"/>
          </w:rPr>
          <w:t xml:space="preserve">пунктом 6 части 1 статьи 7</w:t>
        </w:r>
      </w:hyperlink>
      <w:r>
        <w:rPr>
          <w:sz w:val="24"/>
        </w:rPr>
        <w:t xml:space="preserve"> Федерального закона от 29 ноября 2010 г. N 326-ФЗ "Об обязательном медицинском страховании в Российской Федерации" и </w:t>
      </w:r>
      <w:hyperlink w:history="0" r:id="rId9" w:tooltip="Постановление Правительства РФ от 19.06.2012 N 608 (ред. от 19.02.2026) &quot;Об утверждении Положения о Министерстве здравоохранения Российской Федерации&quot; (с изм. и доп., вступ. в силу с 01.03.2026) {КонсультантПлюс}">
        <w:r>
          <w:rPr>
            <w:sz w:val="24"/>
            <w:color w:val="0000ff"/>
          </w:rPr>
          <w:t xml:space="preserve">подпунктом 5.2.136 пункта 5</w:t>
        </w:r>
      </w:hyperlink>
      <w:r>
        <w:rPr>
          <w:sz w:val="24"/>
        </w:rPr>
        <w:t xml:space="preserve"> Положения о Министерстве здравоохранения Российской Федерации, утвержденного постановлением Правительства Российской Федерации от 19 июня 2012 г. N 608, приказываю:</w:t>
      </w:r>
    </w:p>
    <w:p>
      <w:pPr>
        <w:pStyle w:val="0"/>
        <w:spacing w:before="240" w:lineRule="auto"/>
        <w:ind w:firstLine="540"/>
        <w:jc w:val="both"/>
      </w:pPr>
      <w:r>
        <w:rPr>
          <w:sz w:val="24"/>
        </w:rPr>
        <w:t xml:space="preserve">1. Утвердить </w:t>
      </w:r>
      <w:hyperlink w:history="0" w:anchor="P38" w:tooltip="ПРАВИЛА ОБЯЗАТЕЛЬНОГО МЕДИЦИНСКОГО СТРАХОВАНИЯ">
        <w:r>
          <w:rPr>
            <w:sz w:val="24"/>
            <w:color w:val="0000ff"/>
          </w:rPr>
          <w:t xml:space="preserve">Правила</w:t>
        </w:r>
      </w:hyperlink>
      <w:r>
        <w:rPr>
          <w:sz w:val="24"/>
        </w:rPr>
        <w:t xml:space="preserve"> обязательного медицинского страхования согласно приложению к настоящему приказу.</w:t>
      </w:r>
    </w:p>
    <w:p>
      <w:pPr>
        <w:pStyle w:val="0"/>
        <w:spacing w:before="240" w:lineRule="auto"/>
        <w:ind w:firstLine="540"/>
        <w:jc w:val="both"/>
      </w:pPr>
      <w:r>
        <w:rPr>
          <w:sz w:val="24"/>
        </w:rPr>
        <w:t xml:space="preserve">2. Признать утратившими силу:</w:t>
      </w:r>
    </w:p>
    <w:p>
      <w:pPr>
        <w:pStyle w:val="0"/>
        <w:spacing w:before="240" w:lineRule="auto"/>
        <w:ind w:firstLine="540"/>
        <w:jc w:val="both"/>
      </w:pPr>
      <w:hyperlink w:history="0" r:id="rId10" w:tooltip="Приказ Минздрава России от 28.02.2019 N 108н (ред. от 04.09.2024) &quot;Об утверждении Правил обязательного медицинского страхования&quot; (Зарегистрировано в Минюсте России 17.05.2019 N 54643) ------------ Утратил силу или отменен {КонсультантПлюс}">
        <w:r>
          <w:rPr>
            <w:sz w:val="24"/>
            <w:color w:val="0000ff"/>
          </w:rPr>
          <w:t xml:space="preserve">приказ</w:t>
        </w:r>
      </w:hyperlink>
      <w:r>
        <w:rPr>
          <w:sz w:val="24"/>
        </w:rPr>
        <w:t xml:space="preserve"> Министерства здравоохранения Российской Федерации от 28 февраля 2019 г. N 108н "Об утверждении Правил обязательного медицинского страхования" (зарегистрирован Министерством юстиции Российской Федерации 17 мая 2019 г., регистрационный N 54643);</w:t>
      </w:r>
    </w:p>
    <w:p>
      <w:pPr>
        <w:pStyle w:val="0"/>
        <w:spacing w:before="240" w:lineRule="auto"/>
        <w:ind w:firstLine="540"/>
        <w:jc w:val="both"/>
      </w:pPr>
      <w:hyperlink w:history="0" r:id="rId11" w:tooltip="Приказ Минздрава России от 09.04.2020 N 299н &quot;О внесении изменений в Правила обязательного медицинского страхования, утвержденные приказом Министерства здравоохранения Российской Федерации от 28 февраля 2019 г. N 108н&quot; (Зарегистрировано в Минюсте России 14.04.2020 N 58074) ------------ Утратил силу или отменен {КонсультантПлюс}">
        <w:r>
          <w:rPr>
            <w:sz w:val="24"/>
            <w:color w:val="0000ff"/>
          </w:rPr>
          <w:t xml:space="preserve">приказ</w:t>
        </w:r>
      </w:hyperlink>
      <w:r>
        <w:rPr>
          <w:sz w:val="24"/>
        </w:rPr>
        <w:t xml:space="preserve"> Министерства здравоохранения Российской Федерации от 9 апреля 2020 г. N 299н "О внесении изменений в Правила обязательного медицинского страхования, утвержденные приказом Министерства здравоохранения Российской Федерации от 28 февраля 2019 г. N 108н" (зарегистрирован Министерством юстиции Российской Федерации 14 апреля 2020 г., регистрационный N 58074);</w:t>
      </w:r>
    </w:p>
    <w:p>
      <w:pPr>
        <w:pStyle w:val="0"/>
        <w:spacing w:before="240" w:lineRule="auto"/>
        <w:ind w:firstLine="540"/>
        <w:jc w:val="both"/>
      </w:pPr>
      <w:hyperlink w:history="0" r:id="rId12" w:tooltip="Приказ Минздрава России от 25.09.2020 N 1024н (ред. от 26.10.2022) &quot;О внесении изменений в Правила обязательного медицинского страхования, утвержденные приказом Министерства здравоохранения Российской Федерации от 28 февраля 2019 г. N 108н, и форму типового договора о финансовом обеспечении обязательного медицинского страхования, утвержденную приказом Министерства здравоохранения и социального развития Российской Федерации от 9 сентября 2011 г. N 1030н&quot; (Зарегистрировано в Минюсте России 14.10.2020 N 60369) ------------ Утратил силу или отменен {КонсультантПлюс}">
        <w:r>
          <w:rPr>
            <w:sz w:val="24"/>
            <w:color w:val="0000ff"/>
          </w:rPr>
          <w:t xml:space="preserve">приказ</w:t>
        </w:r>
      </w:hyperlink>
      <w:r>
        <w:rPr>
          <w:sz w:val="24"/>
        </w:rPr>
        <w:t xml:space="preserve"> Министерства здравоохранения Российской Федерации от 25 сентября 2020 г. N 1024н "О внесении изменений в Правила обязательного медицинского страхования, утвержденные приказом Министерства здравоохранения Российской Федерации от 28 февраля 2019 г. N 108н, и форму типового договора о финансовом обеспечении обязательного медицинского страхования, утвержденную приказом Министерства здравоохранения и социального развития Российской Федерации от 9 сентября 2011 г. N 1030н" (зарегистрирован Министерством юстиции Российской Федерации 14 октября 2020 г., регистрационный N 60369);</w:t>
      </w:r>
    </w:p>
    <w:p>
      <w:pPr>
        <w:pStyle w:val="0"/>
        <w:spacing w:before="240" w:lineRule="auto"/>
        <w:ind w:firstLine="540"/>
        <w:jc w:val="both"/>
      </w:pPr>
      <w:hyperlink w:history="0" r:id="rId13" w:tooltip="Приказ Минздрава России от 10.02.2021 N 65н &quot;О внесении изменений в Правила обязательного медицинского страхования, утвержденные приказом Министерства здравоохранения Российской Федерации от 28 февраля 2019 г. N 108н&quot; (Зарегистрировано в Минюсте России 17.03.2021 N 62797) ------------ Утратил силу или отменен {КонсультантПлюс}">
        <w:r>
          <w:rPr>
            <w:sz w:val="24"/>
            <w:color w:val="0000ff"/>
          </w:rPr>
          <w:t xml:space="preserve">приказ</w:t>
        </w:r>
      </w:hyperlink>
      <w:r>
        <w:rPr>
          <w:sz w:val="24"/>
        </w:rPr>
        <w:t xml:space="preserve"> Министерства здравоохранения Российской Федерации от 10 февраля 2021 г. N 65н "О внесении изменений в Правила обязательного медицинского страхования, утвержденные приказом Министерства здравоохранения Российской Федерации от 28 февраля 2019 г. N 108н" (зарегистрирован Министерством юстиции Российской Федерации 17 марта 2021 г., регистрационный N 62797);</w:t>
      </w:r>
    </w:p>
    <w:p>
      <w:pPr>
        <w:pStyle w:val="0"/>
        <w:spacing w:before="240" w:lineRule="auto"/>
        <w:ind w:firstLine="540"/>
        <w:jc w:val="both"/>
      </w:pPr>
      <w:hyperlink w:history="0" r:id="rId14" w:tooltip="Приказ Минздрава России от 26.03.2021 N 254н &quot;О внесении изменений в Правила обязательного медицинского страхования, утвержденные приказом Министерства здравоохранения Российской Федерации от 28 февраля 2019 г. N 108н&quot; (Зарегистрировано в Минюсте России 22.04.2021 N 63210) ------------ Утратил силу или отменен {КонсультантПлюс}">
        <w:r>
          <w:rPr>
            <w:sz w:val="24"/>
            <w:color w:val="0000ff"/>
          </w:rPr>
          <w:t xml:space="preserve">приказ</w:t>
        </w:r>
      </w:hyperlink>
      <w:r>
        <w:rPr>
          <w:sz w:val="24"/>
        </w:rPr>
        <w:t xml:space="preserve"> Министерства здравоохранения Российской Федерации от 26 марта 2021 г. N 254н "О внесении изменений в Правила обязательного медицинского страхования, утвержденные приказом Министерства здравоохранения Российской Федерации от 28 февраля 2019 г. N 108н" (зарегистрирован Министерством юстиции Российской Федерации 22 апреля 2021 г., регистрационный N 63210);</w:t>
      </w:r>
    </w:p>
    <w:p>
      <w:pPr>
        <w:pStyle w:val="0"/>
        <w:spacing w:before="240" w:lineRule="auto"/>
        <w:ind w:firstLine="540"/>
        <w:jc w:val="both"/>
      </w:pPr>
      <w:hyperlink w:history="0" r:id="rId15" w:tooltip="Приказ Минздрава России от 01.07.2021 N 696н &quot;О внесении изменений в Правила обязательного медицинского страхования, утвержденные приказом Министерства здравоохранения Российской Федерации от 28 февраля 2019 г. N 108н, и Порядок проведения контроля объемов, сроков, качества и условий предоставления медицинской помощи по обязательному медицинскому страхованию застрахованным лицам, а также ее финансового обеспечения, утвержденный приказом Министерства здравоохранения Российской Федерации от 19 марта 2021 г. N ------------ Недействующая редакция {КонсультантПлюс}">
        <w:r>
          <w:rPr>
            <w:sz w:val="24"/>
            <w:color w:val="0000ff"/>
          </w:rPr>
          <w:t xml:space="preserve">пункт 1</w:t>
        </w:r>
      </w:hyperlink>
      <w:r>
        <w:rPr>
          <w:sz w:val="24"/>
        </w:rPr>
        <w:t xml:space="preserve"> изменений, которые вносятся в Правила обязательного медицинского страхования, утвержденные приказом Министерства здравоохранения Российской Федерации от 28 февраля 2019 г. N 108н, и Порядок проведения контроля объемов, сроков, качества и условий предоставления медицинской помощи по обязательному медицинскому страхованию застрахованным лицам, а также ее финансового обеспечения, утвержденный приказом Министерства здравоохранения Российской Федерации от 19 марта 2021 г. N 231н, утвержденных приказом Министерства здравоохранения Российской Федерации от 1 июля 2021 г. N 696н (зарегистрирован Министерством юстиции Российской Федерации 29 июля 2021 г., регистрационный N 64445);</w:t>
      </w:r>
    </w:p>
    <w:p>
      <w:pPr>
        <w:pStyle w:val="0"/>
        <w:spacing w:before="240" w:lineRule="auto"/>
        <w:ind w:firstLine="540"/>
        <w:jc w:val="both"/>
      </w:pPr>
      <w:hyperlink w:history="0" r:id="rId16" w:tooltip="Приказ Минздрава России от 03.09.2021 N 908н &quot;О внесении изменений в Правила обязательного медицинского страхования, утвержденные приказом Министерства здравоохранения Российской Федерации от 28 февраля 2019 г. N 108н&quot; (Зарегистрировано в Минюсте России 05.10.2021 N 65295) ------------ Утратил силу или отменен {КонсультантПлюс}">
        <w:r>
          <w:rPr>
            <w:sz w:val="24"/>
            <w:color w:val="0000ff"/>
          </w:rPr>
          <w:t xml:space="preserve">приказ</w:t>
        </w:r>
      </w:hyperlink>
      <w:r>
        <w:rPr>
          <w:sz w:val="24"/>
        </w:rPr>
        <w:t xml:space="preserve"> Министерства здравоохранения Российской Федерации от 3 сентября 2021 г. N 908н "О внесении изменений в Правила обязательного медицинского страхования, утвержденные приказом Министерства здравоохранения Российской Федерации от 28 февраля 2019 г. N 108н" (зарегистрирован Министерством юстиции Российской Федерации 5 октября 2021 г., регистрационный N 65295);</w:t>
      </w:r>
    </w:p>
    <w:p>
      <w:pPr>
        <w:pStyle w:val="0"/>
        <w:spacing w:before="240" w:lineRule="auto"/>
        <w:ind w:firstLine="540"/>
        <w:jc w:val="both"/>
      </w:pPr>
      <w:hyperlink w:history="0" r:id="rId17" w:tooltip="Приказ Минздрава России от 15.12.2021 N 1148н &quot;О внесении изменений в Правила обязательного медицинского страхования, утвержденные приказом Министерства здравоохранения Российской Федерации от 28 февраля 2019 г. N 108п&quot; (Зарегистрировано в Минюсте России 24.01.2022 N 66968) ------------ Утратил силу или отменен {КонсультантПлюс}">
        <w:r>
          <w:rPr>
            <w:sz w:val="24"/>
            <w:color w:val="0000ff"/>
          </w:rPr>
          <w:t xml:space="preserve">приказ</w:t>
        </w:r>
      </w:hyperlink>
      <w:r>
        <w:rPr>
          <w:sz w:val="24"/>
        </w:rPr>
        <w:t xml:space="preserve"> Министерства здравоохранения Российской Федерации от 15 декабря 2021 г. N 1148н "О внесении изменений в Правила обязательного медицинского страхования, утвержденные приказом Министерства здравоохранения Российской Федерации от 28 февраля 2019 г. N 108н" (зарегистрирован Министерством юстиции Российской Федерации 24 января 2022 г., регистрационный N 66968);</w:t>
      </w:r>
    </w:p>
    <w:p>
      <w:pPr>
        <w:pStyle w:val="0"/>
        <w:spacing w:before="240" w:lineRule="auto"/>
        <w:ind w:firstLine="540"/>
        <w:jc w:val="both"/>
      </w:pPr>
      <w:hyperlink w:history="0" r:id="rId18" w:tooltip="Приказ Минздрава России от 21.02.2022 N 100н &quot;О внесении изменений в приложение N 5 к Правилам обязательного медицинского страхования, утвержденным приказом Министерства здравоохранения Российской Федерации от 28 февраля 2019 г. N 108н, и Порядок проведения контроля объемов, сроков, качества и условий предоставления медицинской помощи по обязательному медицинскому страхованию застрахованным лицам, а также ее финансового обеспечения, утвержденный приказом Министерства здравоохранения Российской Федерации от  ------------ Недействующая редакция {КонсультантПлюс}">
        <w:r>
          <w:rPr>
            <w:sz w:val="24"/>
            <w:color w:val="0000ff"/>
          </w:rPr>
          <w:t xml:space="preserve">пункт 1</w:t>
        </w:r>
      </w:hyperlink>
      <w:r>
        <w:rPr>
          <w:sz w:val="24"/>
        </w:rPr>
        <w:t xml:space="preserve"> изменений, которые вносятся в приложение N 5 к Правилам обязательного медицинского страхования, утвержденным приказом Министерства здравоохранения Российской Федерации от 28 февраля 2019 г. N 108н, и Порядок проведения контроля объемов, сроков, качества и условий предоставления медицинской помощи по обязательному медицинскому страхованию застрахованным лицам, а также ее финансового обеспечения, утвержденный приказом Министерства здравоохранения Российской Федерации от 19 марта 2021 г. N 231н, утвержденных приказом Министерства здравоохранения Российской Федерации от 21 февраля 2022 г. N 100н (зарегистрирован Министерством юстиции Российской Федерации 28 февраля 2022 г., регистрационный N 67559);</w:t>
      </w:r>
    </w:p>
    <w:p>
      <w:pPr>
        <w:pStyle w:val="0"/>
        <w:spacing w:before="240" w:lineRule="auto"/>
        <w:ind w:firstLine="540"/>
        <w:jc w:val="both"/>
      </w:pPr>
      <w:hyperlink w:history="0" r:id="rId19" w:tooltip="Приказ Минздрава России от 13.12.2022 N 789н &quot;О внесении изменений в Правила обязательного медицинского страхования, утвержденные приказом Министерства здравоохранения Российской Федерации от 28 февраля 2019 г. N 108н&quot; (Зарегистрировано в Минюсте России 30.12.2022 N 71905) ------------ Утратил силу или отменен {КонсультантПлюс}">
        <w:r>
          <w:rPr>
            <w:sz w:val="24"/>
            <w:color w:val="0000ff"/>
          </w:rPr>
          <w:t xml:space="preserve">приказ</w:t>
        </w:r>
      </w:hyperlink>
      <w:r>
        <w:rPr>
          <w:sz w:val="24"/>
        </w:rPr>
        <w:t xml:space="preserve"> Министерства здравоохранения Российской Федерации от 13 декабря 2022 г. N 789н "О внесении изменений в Правила обязательного медицинского страхования, утвержденные приказом Министерства здравоохранения Российской Федерации от 28 февраля 2019 г. N 108н" (зарегистрирован Министерством юстиции Российской Федерации 30 декабря 2022 г., регистрационный N 71905);</w:t>
      </w:r>
    </w:p>
    <w:p>
      <w:pPr>
        <w:pStyle w:val="0"/>
        <w:spacing w:before="240" w:lineRule="auto"/>
        <w:ind w:firstLine="540"/>
        <w:jc w:val="both"/>
      </w:pPr>
      <w:hyperlink w:history="0" r:id="rId20" w:tooltip="Приказ Минздрава России от 04.09.2024 N 449н &quot;О внесении изменений в Правила обязательного медицинского страхования, утвержденные приказом Министерства здравоохранения Российской Федерации от 28 февраля 2019 г. N 108н, и Порядок проведения контроля объемов, сроков, качества и условий предоставления медицинской помощи по обязательному медицинскому страхованию застрахованным лицам, а также ее финансового обеспечения, утвержденный приказом Министерства здравоохранения Российской Федерации от 19 марта 2021 г. N ------------ Недействующая редакция {КонсультантПлюс}">
        <w:r>
          <w:rPr>
            <w:sz w:val="24"/>
            <w:color w:val="0000ff"/>
          </w:rPr>
          <w:t xml:space="preserve">пункт 1</w:t>
        </w:r>
      </w:hyperlink>
      <w:r>
        <w:rPr>
          <w:sz w:val="24"/>
        </w:rPr>
        <w:t xml:space="preserve"> изменений, которые вносятся в Правила обязательного медицинского страхования, утвержденные приказом Министерства здравоохранения Российской Федерации от 28 февраля 2019 г. N 108н, и Порядок проведения контроля объемов, сроков, качества и условий предоставления медицинской помощи по обязательному медицинскому страхованию застрахованным лицам, а также ее финансового обеспечения, утвержденный приказом Министерства здравоохранения Российской Федерации от 19 марта 2021 г. N 231н, утвержденных приказом Министерства здравоохранения Российской Федерации от 4 сентября 2024 г. N 449н (зарегистрирован Министерством юстиции Российской Федерации 3 октября 2024 г., регистрационный N 79698).</w:t>
      </w:r>
    </w:p>
    <w:p>
      <w:pPr>
        <w:pStyle w:val="0"/>
        <w:ind w:firstLine="540"/>
        <w:jc w:val="both"/>
      </w:pPr>
      <w:r>
        <w:rPr>
          <w:sz w:val="24"/>
        </w:rPr>
      </w:r>
    </w:p>
    <w:p>
      <w:pPr>
        <w:pStyle w:val="0"/>
        <w:jc w:val="right"/>
      </w:pPr>
      <w:r>
        <w:rPr>
          <w:sz w:val="24"/>
        </w:rPr>
        <w:t xml:space="preserve">Министр</w:t>
      </w:r>
    </w:p>
    <w:p>
      <w:pPr>
        <w:pStyle w:val="0"/>
        <w:jc w:val="right"/>
      </w:pPr>
      <w:r>
        <w:rPr>
          <w:sz w:val="24"/>
        </w:rPr>
        <w:t xml:space="preserve">М.А.МУРАШКО</w:t>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outlineLvl w:val="0"/>
        <w:jc w:val="right"/>
      </w:pPr>
      <w:r>
        <w:rPr>
          <w:sz w:val="24"/>
        </w:rPr>
        <w:t xml:space="preserve">Приложение</w:t>
      </w:r>
    </w:p>
    <w:p>
      <w:pPr>
        <w:pStyle w:val="0"/>
        <w:jc w:val="right"/>
      </w:pPr>
      <w:r>
        <w:rPr>
          <w:sz w:val="24"/>
        </w:rPr>
        <w:t xml:space="preserve">к приказу Министерства здравоохранения</w:t>
      </w:r>
    </w:p>
    <w:p>
      <w:pPr>
        <w:pStyle w:val="0"/>
        <w:jc w:val="right"/>
      </w:pPr>
      <w:r>
        <w:rPr>
          <w:sz w:val="24"/>
        </w:rPr>
        <w:t xml:space="preserve">Российской Федерации</w:t>
      </w:r>
    </w:p>
    <w:p>
      <w:pPr>
        <w:pStyle w:val="0"/>
        <w:jc w:val="right"/>
      </w:pPr>
      <w:r>
        <w:rPr>
          <w:sz w:val="24"/>
        </w:rPr>
        <w:t xml:space="preserve">от 21 августа 2025 г. N 496н</w:t>
      </w:r>
    </w:p>
    <w:p>
      <w:pPr>
        <w:pStyle w:val="0"/>
        <w:jc w:val="both"/>
      </w:pPr>
      <w:r>
        <w:rPr>
          <w:sz w:val="24"/>
        </w:rPr>
      </w:r>
    </w:p>
    <w:bookmarkStart w:id="38" w:name="P38"/>
    <w:bookmarkEnd w:id="38"/>
    <w:p>
      <w:pPr>
        <w:pStyle w:val="2"/>
        <w:jc w:val="center"/>
      </w:pPr>
      <w:r>
        <w:rPr>
          <w:sz w:val="24"/>
        </w:rPr>
        <w:t xml:space="preserve">ПРАВИЛА ОБЯЗАТЕЛЬНОГО МЕДИЦИНСКОГО СТРАХОВАНИЯ</w:t>
      </w:r>
    </w:p>
    <w:p>
      <w:pPr>
        <w:pStyle w:val="0"/>
        <w:jc w:val="both"/>
      </w:pPr>
      <w:r>
        <w:rPr>
          <w:sz w:val="24"/>
        </w:rPr>
      </w:r>
    </w:p>
    <w:p>
      <w:pPr>
        <w:pStyle w:val="2"/>
        <w:outlineLvl w:val="1"/>
        <w:jc w:val="center"/>
      </w:pPr>
      <w:r>
        <w:rPr>
          <w:sz w:val="24"/>
        </w:rPr>
        <w:t xml:space="preserve">I. Общие положения</w:t>
      </w:r>
    </w:p>
    <w:p>
      <w:pPr>
        <w:pStyle w:val="0"/>
        <w:jc w:val="both"/>
      </w:pPr>
      <w:r>
        <w:rPr>
          <w:sz w:val="24"/>
        </w:rPr>
      </w:r>
    </w:p>
    <w:p>
      <w:pPr>
        <w:pStyle w:val="0"/>
        <w:ind w:firstLine="540"/>
        <w:jc w:val="both"/>
      </w:pPr>
      <w:r>
        <w:rPr>
          <w:sz w:val="24"/>
        </w:rPr>
        <w:t xml:space="preserve">1. В соответствии с </w:t>
      </w:r>
      <w:hyperlink w:history="0" r:id="rId21" w:tooltip="Федеральный закон от 29.11.2010 N 326-ФЗ (ред. от 20.02.2026) &quot;Об обязательном медицинском страховании в Российской Федерации&quot; {КонсультантПлюс}">
        <w:r>
          <w:rPr>
            <w:sz w:val="24"/>
            <w:color w:val="0000ff"/>
          </w:rPr>
          <w:t xml:space="preserve">частью 1 статьи 16</w:t>
        </w:r>
      </w:hyperlink>
      <w:r>
        <w:rPr>
          <w:sz w:val="24"/>
        </w:rPr>
        <w:t xml:space="preserve"> Федерального закона от 29 ноября 2010 г. N 326-ФЗ "Об обязательном медицинском страховании в Российской Федерации" (далее - Федеральный закон) застрахованные лица имеют право на выбор или замену страховой медицинской организации, осуществляющих деятельность в сфере обязательного медицинского страхования (далее - страховая медицинская организация), а также на включение в единый регистр застрахованных лиц, в соответствии с </w:t>
      </w:r>
      <w:hyperlink w:history="0" r:id="rId22" w:tooltip="Федеральный закон от 29.11.2010 N 326-ФЗ (ред. от 20.02.2026) &quot;Об обязательном медицинском страховании в Российской Федерации&quot; {КонсультантПлюс}">
        <w:r>
          <w:rPr>
            <w:sz w:val="24"/>
            <w:color w:val="0000ff"/>
          </w:rPr>
          <w:t xml:space="preserve">частью 1 статьи 46</w:t>
        </w:r>
      </w:hyperlink>
      <w:r>
        <w:rPr>
          <w:sz w:val="24"/>
        </w:rPr>
        <w:t xml:space="preserve"> Федерального закона, путем подачи заявления в порядке, установленном </w:t>
      </w:r>
      <w:hyperlink w:history="0" w:anchor="P47" w:tooltip="II. Подача застрахованным лицом заявлений">
        <w:r>
          <w:rPr>
            <w:sz w:val="24"/>
            <w:color w:val="0000ff"/>
          </w:rPr>
          <w:t xml:space="preserve">главой II</w:t>
        </w:r>
      </w:hyperlink>
      <w:r>
        <w:rPr>
          <w:sz w:val="24"/>
        </w:rPr>
        <w:t xml:space="preserve"> настоящих Правил.</w:t>
      </w:r>
    </w:p>
    <w:p>
      <w:pPr>
        <w:pStyle w:val="0"/>
        <w:spacing w:before="240" w:lineRule="auto"/>
        <w:ind w:firstLine="540"/>
        <w:jc w:val="both"/>
      </w:pPr>
      <w:r>
        <w:rPr>
          <w:sz w:val="24"/>
        </w:rPr>
        <w:t xml:space="preserve">2. Выбор или замена страховой медицинской организации в соответствии с </w:t>
      </w:r>
      <w:hyperlink w:history="0" r:id="rId23" w:tooltip="Федеральный закон от 29.11.2010 N 326-ФЗ (ред. от 20.02.2026) &quot;Об обязательном медицинском страховании в Российской Федерации&quot; {КонсультантПлюс}">
        <w:r>
          <w:rPr>
            <w:sz w:val="24"/>
            <w:color w:val="0000ff"/>
          </w:rPr>
          <w:t xml:space="preserve">частью 4 статьи 16</w:t>
        </w:r>
      </w:hyperlink>
      <w:r>
        <w:rPr>
          <w:sz w:val="24"/>
        </w:rPr>
        <w:t xml:space="preserve"> Федерального закона осуществляется застрахованным лицом, достигшим совершеннолетия либо приобретшим дееспособность в полном объеме (для ребенка до достижения им совершеннолетия либо до приобретения им дееспособности в полном объеме - его родителями или другими </w:t>
      </w:r>
      <w:hyperlink w:history="0" r:id="rId24" w:tooltip="Справочная информация: &quot;Законные представители&quot; (Материал подготовлен специалистами КонсультантПлюс) {КонсультантПлюс}">
        <w:r>
          <w:rPr>
            <w:sz w:val="24"/>
            <w:color w:val="0000ff"/>
          </w:rPr>
          <w:t xml:space="preserve">законными представителями</w:t>
        </w:r>
      </w:hyperlink>
      <w:r>
        <w:rPr>
          <w:sz w:val="24"/>
        </w:rPr>
        <w:t xml:space="preserve">, для лица, признанного в установленном законом порядке недееспособным - его законными представителями), путем подачи заявления в страховую медицинскую организацию из числа включенных в реестр страховых медицинских организаций или иные организации, уполномоченные субъектом Российской Федерации (далее - иные организации), при условии, что между страховой медицинской организацией и иной организацией заключен договор на оказание данных услуг.</w:t>
      </w:r>
    </w:p>
    <w:p>
      <w:pPr>
        <w:pStyle w:val="0"/>
        <w:spacing w:before="240" w:lineRule="auto"/>
        <w:ind w:firstLine="540"/>
        <w:jc w:val="both"/>
      </w:pPr>
      <w:r>
        <w:rPr>
          <w:sz w:val="24"/>
        </w:rPr>
        <w:t xml:space="preserve">3. Обязательное медицинское страхование ребенка со дня его рождения и до дня государственной регистрации его рождения осуществляется страховой медицинской организацией, в которой застрахованы его мать или другой законный представитель. Обязательное медицинское страхование ребенка со дня государственной регистрации рождения ребенка и до достижения им совершеннолетия либо до приобретения им дееспособности в полном объеме осуществляется страховой медицинской организацией, выбранной одним из его родителей или другим законным представителем.</w:t>
      </w:r>
    </w:p>
    <w:p>
      <w:pPr>
        <w:pStyle w:val="0"/>
        <w:spacing w:before="240" w:lineRule="auto"/>
        <w:ind w:firstLine="540"/>
        <w:jc w:val="both"/>
      </w:pPr>
      <w:r>
        <w:rPr>
          <w:sz w:val="24"/>
        </w:rPr>
        <w:t xml:space="preserve">4. В случае, если для ребенка одним из его родителей или другим законным представителем страховая медицинская организация не выбрана, обязательное медицинское страхование со дня государственной регистрации его рождения и до выбора страховой медицинской организации осуществляется страховой медицинской организацией, в которой застрахованы его мать или другой законный представитель (далее - законные представители). В случае, если мать и другие законные представители ребенка относятся к лицам, призванным (поступившим) на военную службу или приравненную к ней службу, обязательное медицинское страхование ребенка со дня государственной регистрации его рождения и до выбора страховой медицинской организации осуществляется страховой медицинской организацией, определенной территориальным фондом обязательного медицинского страхования (далее - территориальный фонд).</w:t>
      </w:r>
    </w:p>
    <w:p>
      <w:pPr>
        <w:pStyle w:val="0"/>
        <w:jc w:val="both"/>
      </w:pPr>
      <w:r>
        <w:rPr>
          <w:sz w:val="24"/>
        </w:rPr>
      </w:r>
    </w:p>
    <w:bookmarkStart w:id="47" w:name="P47"/>
    <w:bookmarkEnd w:id="47"/>
    <w:p>
      <w:pPr>
        <w:pStyle w:val="2"/>
        <w:outlineLvl w:val="1"/>
        <w:jc w:val="center"/>
      </w:pPr>
      <w:r>
        <w:rPr>
          <w:sz w:val="24"/>
        </w:rPr>
        <w:t xml:space="preserve">II. Подача застрахованным лицом заявлений</w:t>
      </w:r>
    </w:p>
    <w:p>
      <w:pPr>
        <w:pStyle w:val="2"/>
        <w:jc w:val="center"/>
      </w:pPr>
      <w:r>
        <w:rPr>
          <w:sz w:val="24"/>
        </w:rPr>
        <w:t xml:space="preserve">о включении в единый регистр застрахованных лиц, о выборе</w:t>
      </w:r>
    </w:p>
    <w:p>
      <w:pPr>
        <w:pStyle w:val="2"/>
        <w:jc w:val="center"/>
      </w:pPr>
      <w:r>
        <w:rPr>
          <w:sz w:val="24"/>
        </w:rPr>
        <w:t xml:space="preserve">(замене) страховой медицинской организации и заявления</w:t>
      </w:r>
    </w:p>
    <w:p>
      <w:pPr>
        <w:pStyle w:val="2"/>
        <w:jc w:val="center"/>
      </w:pPr>
      <w:r>
        <w:rPr>
          <w:sz w:val="24"/>
        </w:rPr>
        <w:t xml:space="preserve">о сдаче (утрате) полиса обязательного медицинского</w:t>
      </w:r>
    </w:p>
    <w:p>
      <w:pPr>
        <w:pStyle w:val="2"/>
        <w:jc w:val="center"/>
      </w:pPr>
      <w:r>
        <w:rPr>
          <w:sz w:val="24"/>
        </w:rPr>
        <w:t xml:space="preserve">страхования на материальном носителе</w:t>
      </w:r>
    </w:p>
    <w:p>
      <w:pPr>
        <w:pStyle w:val="0"/>
        <w:jc w:val="both"/>
      </w:pPr>
      <w:r>
        <w:rPr>
          <w:sz w:val="24"/>
        </w:rPr>
      </w:r>
    </w:p>
    <w:p>
      <w:pPr>
        <w:pStyle w:val="0"/>
        <w:ind w:firstLine="540"/>
        <w:jc w:val="both"/>
      </w:pPr>
      <w:r>
        <w:rPr>
          <w:sz w:val="24"/>
        </w:rPr>
        <w:t xml:space="preserve">5. Форма заявления о выборе (замене) страховой медицинской организации содержится в </w:t>
      </w:r>
      <w:hyperlink w:history="0" w:anchor="P1616" w:tooltip="                                 ЗАЯВЛЕНИЕ">
        <w:r>
          <w:rPr>
            <w:sz w:val="24"/>
            <w:color w:val="0000ff"/>
          </w:rPr>
          <w:t xml:space="preserve">приложении N 1</w:t>
        </w:r>
      </w:hyperlink>
      <w:r>
        <w:rPr>
          <w:sz w:val="24"/>
        </w:rPr>
        <w:t xml:space="preserve"> к настоящим Правилам &lt;1&gt;.</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&lt;1&gt; </w:t>
      </w:r>
      <w:hyperlink w:history="0" r:id="rId25" w:tooltip="Федеральный закон от 29.11.2010 N 326-ФЗ (ред. от 20.02.2026) &quot;Об обязательном медицинском страховании в Российской Федерации&quot; {КонсультантПлюс}">
        <w:r>
          <w:rPr>
            <w:sz w:val="24"/>
            <w:color w:val="0000ff"/>
          </w:rPr>
          <w:t xml:space="preserve">Часть 5 статьи 16</w:t>
        </w:r>
      </w:hyperlink>
      <w:r>
        <w:rPr>
          <w:sz w:val="24"/>
        </w:rPr>
        <w:t xml:space="preserve"> Федерального закона.</w:t>
      </w:r>
    </w:p>
    <w:p>
      <w:pPr>
        <w:pStyle w:val="0"/>
        <w:jc w:val="both"/>
      </w:pPr>
      <w:r>
        <w:rPr>
          <w:sz w:val="24"/>
        </w:rPr>
      </w:r>
    </w:p>
    <w:p>
      <w:pPr>
        <w:pStyle w:val="0"/>
        <w:ind w:firstLine="540"/>
        <w:jc w:val="both"/>
      </w:pPr>
      <w:r>
        <w:rPr>
          <w:sz w:val="24"/>
        </w:rPr>
        <w:t xml:space="preserve">6. Заявление о включении в единый регистр застрахованных лиц, бланк которого размещается в соответствии с форматами информационного взаимодействия в сфере обязательного медицинского страхования, опубликованными на официальном сайте Федерального фонда обязательного медицинского страхования (далее - Федеральный фонд) в информационно-телекоммуникационной сети "Интернет" &lt;2&gt;, и заявление о выборе (замене) страховой медицинской организации должны содержать следующие сведения:</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&lt;2&gt; </w:t>
      </w:r>
      <w:hyperlink w:history="0" r:id="rId26" w:tooltip="Постановление Правительства РФ от 11.06.2021 N 901 (ред. от 14.03.2022) &quot;Об утверждении Правил функционирования государственной информационной системы обязательного медицинского страхования и внесении изменений в некоторые акты Правительства Российской Федерации&quot; {КонсультантПлюс}">
        <w:r>
          <w:rPr>
            <w:sz w:val="24"/>
            <w:color w:val="0000ff"/>
          </w:rPr>
          <w:t xml:space="preserve">Постановление</w:t>
        </w:r>
      </w:hyperlink>
      <w:r>
        <w:rPr>
          <w:sz w:val="24"/>
        </w:rPr>
        <w:t xml:space="preserve"> Правительства Российской Федерации от 11 июня 2021 г. N 901 "Об утверждении Правил функционирования государственной информационной системы обязательного медицинского страхования и внесении изменений в некоторые акты Правительства Российской Федерации".</w:t>
      </w:r>
    </w:p>
    <w:p>
      <w:pPr>
        <w:pStyle w:val="0"/>
        <w:jc w:val="both"/>
      </w:pPr>
      <w:r>
        <w:rPr>
          <w:sz w:val="24"/>
        </w:rPr>
      </w:r>
    </w:p>
    <w:bookmarkStart w:id="61" w:name="P61"/>
    <w:bookmarkEnd w:id="61"/>
    <w:p>
      <w:pPr>
        <w:pStyle w:val="0"/>
        <w:ind w:firstLine="540"/>
        <w:jc w:val="both"/>
      </w:pPr>
      <w:r>
        <w:rPr>
          <w:sz w:val="24"/>
        </w:rPr>
        <w:t xml:space="preserve">1) о застрахованном по обязательному медицинскому страхованию в соответствии с Федеральным </w:t>
      </w:r>
      <w:hyperlink w:history="0" r:id="rId27" w:tooltip="Федеральный закон от 29.11.2010 N 326-ФЗ (ред. от 20.02.2026) &quot;Об обязательном медицинском страховании в Российской Федерации&quot; {КонсультантПлюс}">
        <w:r>
          <w:rPr>
            <w:sz w:val="24"/>
            <w:color w:val="0000ff"/>
          </w:rPr>
          <w:t xml:space="preserve">законом</w:t>
        </w:r>
      </w:hyperlink>
      <w:r>
        <w:rPr>
          <w:sz w:val="24"/>
        </w:rPr>
        <w:t xml:space="preserve"> лице:</w:t>
      </w:r>
    </w:p>
    <w:p>
      <w:pPr>
        <w:pStyle w:val="0"/>
        <w:spacing w:before="240" w:lineRule="auto"/>
        <w:ind w:firstLine="540"/>
        <w:jc w:val="both"/>
      </w:pPr>
      <w:r>
        <w:rPr>
          <w:sz w:val="24"/>
        </w:rPr>
        <w:t xml:space="preserve">фамилию, имя, отчество (при наличии);</w:t>
      </w:r>
    </w:p>
    <w:p>
      <w:pPr>
        <w:pStyle w:val="0"/>
        <w:spacing w:before="240" w:lineRule="auto"/>
        <w:ind w:firstLine="540"/>
        <w:jc w:val="both"/>
      </w:pPr>
      <w:r>
        <w:rPr>
          <w:sz w:val="24"/>
        </w:rPr>
        <w:t xml:space="preserve">пол;</w:t>
      </w:r>
    </w:p>
    <w:p>
      <w:pPr>
        <w:pStyle w:val="0"/>
        <w:spacing w:before="240" w:lineRule="auto"/>
        <w:ind w:firstLine="540"/>
        <w:jc w:val="both"/>
      </w:pPr>
      <w:r>
        <w:rPr>
          <w:sz w:val="24"/>
        </w:rPr>
        <w:t xml:space="preserve">дату рождения;</w:t>
      </w:r>
    </w:p>
    <w:p>
      <w:pPr>
        <w:pStyle w:val="0"/>
        <w:spacing w:before="240" w:lineRule="auto"/>
        <w:ind w:firstLine="540"/>
        <w:jc w:val="both"/>
      </w:pPr>
      <w:r>
        <w:rPr>
          <w:sz w:val="24"/>
        </w:rPr>
        <w:t xml:space="preserve">место рождения;</w:t>
      </w:r>
    </w:p>
    <w:p>
      <w:pPr>
        <w:pStyle w:val="0"/>
        <w:spacing w:before="240" w:lineRule="auto"/>
        <w:ind w:firstLine="540"/>
        <w:jc w:val="both"/>
      </w:pPr>
      <w:r>
        <w:rPr>
          <w:sz w:val="24"/>
        </w:rPr>
        <w:t xml:space="preserve">гражданство;</w:t>
      </w:r>
    </w:p>
    <w:p>
      <w:pPr>
        <w:pStyle w:val="0"/>
        <w:spacing w:before="240" w:lineRule="auto"/>
        <w:ind w:firstLine="540"/>
        <w:jc w:val="both"/>
      </w:pPr>
      <w:r>
        <w:rPr>
          <w:sz w:val="24"/>
        </w:rPr>
        <w:t xml:space="preserve">страховой номер индивидуального лицевого счета в соответствии с законодательством Российской Федерации об индивидуальном (персонифицированном) учете в системе обязательного пенсионного страхования (для иностранных граждан и лиц без гражданства - при наличии) (далее - СНИЛС);</w:t>
      </w:r>
    </w:p>
    <w:p>
      <w:pPr>
        <w:pStyle w:val="0"/>
        <w:spacing w:before="240" w:lineRule="auto"/>
        <w:ind w:firstLine="540"/>
        <w:jc w:val="both"/>
      </w:pPr>
      <w:r>
        <w:rPr>
          <w:sz w:val="24"/>
        </w:rPr>
        <w:t xml:space="preserve">серия и номер, дата выдачи (далее - реквизиты) документа, удостоверяющего личность (для детей в возрасте до четырнадцати лет - реквизиты свидетельства о рождении, реквизиты документа иностранного государства о регистрации рождения в случае регистрации рождения вне пределов Российской Федерации);</w:t>
      </w:r>
    </w:p>
    <w:p>
      <w:pPr>
        <w:pStyle w:val="0"/>
        <w:spacing w:before="240" w:lineRule="auto"/>
        <w:ind w:firstLine="540"/>
        <w:jc w:val="both"/>
      </w:pPr>
      <w:r>
        <w:rPr>
          <w:sz w:val="24"/>
        </w:rPr>
        <w:t xml:space="preserve">место жительства (на основании регистрации);</w:t>
      </w:r>
    </w:p>
    <w:p>
      <w:pPr>
        <w:pStyle w:val="0"/>
        <w:spacing w:before="240" w:lineRule="auto"/>
        <w:ind w:firstLine="540"/>
        <w:jc w:val="both"/>
      </w:pPr>
      <w:r>
        <w:rPr>
          <w:sz w:val="24"/>
        </w:rPr>
        <w:t xml:space="preserve">место пребывания (в случае, отличном от "места жительства" вносится на основании фактического места пребывания);</w:t>
      </w:r>
    </w:p>
    <w:p>
      <w:pPr>
        <w:pStyle w:val="0"/>
        <w:spacing w:before="240" w:lineRule="auto"/>
        <w:ind w:firstLine="540"/>
        <w:jc w:val="both"/>
      </w:pPr>
      <w:r>
        <w:rPr>
          <w:sz w:val="24"/>
        </w:rPr>
        <w:t xml:space="preserve">дату регистрации;</w:t>
      </w:r>
    </w:p>
    <w:p>
      <w:pPr>
        <w:pStyle w:val="0"/>
        <w:spacing w:before="240" w:lineRule="auto"/>
        <w:ind w:firstLine="540"/>
        <w:jc w:val="both"/>
      </w:pPr>
      <w:r>
        <w:rPr>
          <w:sz w:val="24"/>
        </w:rPr>
        <w:t xml:space="preserve">категорию застрахованного лица;</w:t>
      </w:r>
    </w:p>
    <w:p>
      <w:pPr>
        <w:pStyle w:val="0"/>
        <w:spacing w:before="240" w:lineRule="auto"/>
        <w:ind w:firstLine="540"/>
        <w:jc w:val="both"/>
      </w:pPr>
      <w:r>
        <w:rPr>
          <w:sz w:val="24"/>
        </w:rPr>
        <w:t xml:space="preserve">2) о представителе застрахованного лица (далее - представитель) (в том числе законном представителе):</w:t>
      </w:r>
    </w:p>
    <w:p>
      <w:pPr>
        <w:pStyle w:val="0"/>
        <w:spacing w:before="240" w:lineRule="auto"/>
        <w:ind w:firstLine="540"/>
        <w:jc w:val="both"/>
      </w:pPr>
      <w:r>
        <w:rPr>
          <w:sz w:val="24"/>
        </w:rPr>
        <w:t xml:space="preserve">фамилию, имя, отчество (при наличии);</w:t>
      </w:r>
    </w:p>
    <w:p>
      <w:pPr>
        <w:pStyle w:val="0"/>
        <w:spacing w:before="240" w:lineRule="auto"/>
        <w:ind w:firstLine="540"/>
        <w:jc w:val="both"/>
      </w:pPr>
      <w:r>
        <w:rPr>
          <w:sz w:val="24"/>
        </w:rPr>
        <w:t xml:space="preserve">пол;</w:t>
      </w:r>
    </w:p>
    <w:p>
      <w:pPr>
        <w:pStyle w:val="0"/>
        <w:spacing w:before="240" w:lineRule="auto"/>
        <w:ind w:firstLine="540"/>
        <w:jc w:val="both"/>
      </w:pPr>
      <w:r>
        <w:rPr>
          <w:sz w:val="24"/>
        </w:rPr>
        <w:t xml:space="preserve">дату рождения;</w:t>
      </w:r>
    </w:p>
    <w:p>
      <w:pPr>
        <w:pStyle w:val="0"/>
        <w:spacing w:before="240" w:lineRule="auto"/>
        <w:ind w:firstLine="540"/>
        <w:jc w:val="both"/>
      </w:pPr>
      <w:r>
        <w:rPr>
          <w:sz w:val="24"/>
        </w:rPr>
        <w:t xml:space="preserve">гражданство;</w:t>
      </w:r>
    </w:p>
    <w:p>
      <w:pPr>
        <w:pStyle w:val="0"/>
        <w:spacing w:before="240" w:lineRule="auto"/>
        <w:ind w:firstLine="540"/>
        <w:jc w:val="both"/>
      </w:pPr>
      <w:r>
        <w:rPr>
          <w:sz w:val="24"/>
        </w:rPr>
        <w:t xml:space="preserve">реквизиты документа, удостоверяющего личность;</w:t>
      </w:r>
    </w:p>
    <w:p>
      <w:pPr>
        <w:pStyle w:val="0"/>
        <w:spacing w:before="240" w:lineRule="auto"/>
        <w:ind w:firstLine="540"/>
        <w:jc w:val="both"/>
      </w:pPr>
      <w:r>
        <w:rPr>
          <w:sz w:val="24"/>
        </w:rPr>
        <w:t xml:space="preserve">статус представителя;</w:t>
      </w:r>
    </w:p>
    <w:p>
      <w:pPr>
        <w:pStyle w:val="0"/>
        <w:spacing w:before="240" w:lineRule="auto"/>
        <w:ind w:firstLine="540"/>
        <w:jc w:val="both"/>
      </w:pPr>
      <w:r>
        <w:rPr>
          <w:sz w:val="24"/>
        </w:rPr>
        <w:t xml:space="preserve">реквизиты документа, удостоверяющего статус представителя;</w:t>
      </w:r>
    </w:p>
    <w:p>
      <w:pPr>
        <w:pStyle w:val="0"/>
        <w:spacing w:before="240" w:lineRule="auto"/>
        <w:ind w:firstLine="540"/>
        <w:jc w:val="both"/>
      </w:pPr>
      <w:r>
        <w:rPr>
          <w:sz w:val="24"/>
        </w:rPr>
        <w:t xml:space="preserve">СНИЛС (при наличии);</w:t>
      </w:r>
    </w:p>
    <w:p>
      <w:pPr>
        <w:pStyle w:val="0"/>
        <w:spacing w:before="240" w:lineRule="auto"/>
        <w:ind w:firstLine="540"/>
        <w:jc w:val="both"/>
      </w:pPr>
      <w:r>
        <w:rPr>
          <w:sz w:val="24"/>
        </w:rPr>
        <w:t xml:space="preserve">полис обязательного медицинского страхования (далее - полис) (при наличии);</w:t>
      </w:r>
    </w:p>
    <w:p>
      <w:pPr>
        <w:pStyle w:val="0"/>
        <w:spacing w:before="240" w:lineRule="auto"/>
        <w:ind w:firstLine="540"/>
        <w:jc w:val="both"/>
      </w:pPr>
      <w:r>
        <w:rPr>
          <w:sz w:val="24"/>
        </w:rPr>
        <w:t xml:space="preserve">место жительства (на основании регистрации);</w:t>
      </w:r>
    </w:p>
    <w:p>
      <w:pPr>
        <w:pStyle w:val="0"/>
        <w:spacing w:before="240" w:lineRule="auto"/>
        <w:ind w:firstLine="540"/>
        <w:jc w:val="both"/>
      </w:pPr>
      <w:r>
        <w:rPr>
          <w:sz w:val="24"/>
        </w:rPr>
        <w:t xml:space="preserve">место пребывания (в случае, отличном от "места жительства" вносится на основании фактического места пребывания);</w:t>
      </w:r>
    </w:p>
    <w:bookmarkStart w:id="85" w:name="P85"/>
    <w:bookmarkEnd w:id="85"/>
    <w:p>
      <w:pPr>
        <w:pStyle w:val="0"/>
        <w:spacing w:before="240" w:lineRule="auto"/>
        <w:ind w:firstLine="540"/>
        <w:jc w:val="both"/>
      </w:pPr>
      <w:r>
        <w:rPr>
          <w:sz w:val="24"/>
        </w:rPr>
        <w:t xml:space="preserve">3) наименование страховой медицинской организации, выбранной застрахованным лицом;</w:t>
      </w:r>
    </w:p>
    <w:p>
      <w:pPr>
        <w:pStyle w:val="0"/>
        <w:spacing w:before="240" w:lineRule="auto"/>
        <w:ind w:firstLine="540"/>
        <w:jc w:val="both"/>
      </w:pPr>
      <w:r>
        <w:rPr>
          <w:sz w:val="24"/>
        </w:rPr>
        <w:t xml:space="preserve">4) наименование страховой медицинской организации, в которой лицо застраховано на дату подачи заявления (при подаче заявления в иную организацию), (для заявления о выборе (замене) страховой медицинской организации);</w:t>
      </w:r>
    </w:p>
    <w:bookmarkStart w:id="87" w:name="P87"/>
    <w:bookmarkEnd w:id="87"/>
    <w:p>
      <w:pPr>
        <w:pStyle w:val="0"/>
        <w:spacing w:before="240" w:lineRule="auto"/>
        <w:ind w:firstLine="540"/>
        <w:jc w:val="both"/>
      </w:pPr>
      <w:r>
        <w:rPr>
          <w:sz w:val="24"/>
        </w:rPr>
        <w:t xml:space="preserve">5) о намерении получить полис на материальном носителе (далее - выписка о полисе) (заполняется при обращении в страховую медицинскую организацию);</w:t>
      </w:r>
    </w:p>
    <w:bookmarkStart w:id="88" w:name="P88"/>
    <w:bookmarkEnd w:id="88"/>
    <w:p>
      <w:pPr>
        <w:pStyle w:val="0"/>
        <w:spacing w:before="240" w:lineRule="auto"/>
        <w:ind w:firstLine="540"/>
        <w:jc w:val="both"/>
      </w:pPr>
      <w:r>
        <w:rPr>
          <w:sz w:val="24"/>
        </w:rPr>
        <w:t xml:space="preserve">6) о согласии на индивидуальное информационное сопровождение страховой медицинской организацией на всех этапах оказания медицинской помощи и по вопросам организации оказания медицинской помощи в системе обязательного медицинского страхования (для лиц, не достигших возраста, установленного </w:t>
      </w:r>
      <w:hyperlink w:history="0" r:id="rId28" w:tooltip="Федеральный закон от 21.11.2011 N 323-ФЗ (ред. от 29.12.2025) &quot;Об основах охраны здоровья граждан в Российской Федерации&quot; (с изм. и доп., вступ. в силу с 01.04.2026) {КонсультантПлюс}">
        <w:r>
          <w:rPr>
            <w:sz w:val="24"/>
            <w:color w:val="0000ff"/>
          </w:rPr>
          <w:t xml:space="preserve">частью 2 статьи 54</w:t>
        </w:r>
      </w:hyperlink>
      <w:r>
        <w:rPr>
          <w:sz w:val="24"/>
        </w:rPr>
        <w:t xml:space="preserve"> Федерального закона от 21 ноября 2011 г. N 323-ФЗ "Об основах охраны здоровья граждан в Российской Федерации" (далее - Федеральный закон N 323-ФЗ), и граждан, признанных недееспособными, - согласие представителя в случае подачи им заявления);</w:t>
      </w:r>
    </w:p>
    <w:bookmarkStart w:id="89" w:name="P89"/>
    <w:bookmarkEnd w:id="89"/>
    <w:p>
      <w:pPr>
        <w:pStyle w:val="0"/>
        <w:spacing w:before="240" w:lineRule="auto"/>
        <w:ind w:firstLine="540"/>
        <w:jc w:val="both"/>
      </w:pPr>
      <w:r>
        <w:rPr>
          <w:sz w:val="24"/>
        </w:rPr>
        <w:t xml:space="preserve">7) контактные данные застрахованного лица (представителя, в том числе законного представителя), обязательные для заполнения в случае наличия согласия, предусмотренного </w:t>
      </w:r>
      <w:hyperlink w:history="0" w:anchor="P88" w:tooltip="6) о согласии на индивидуальное информационное сопровождение страховой медицинской организацией на всех этапах оказания медицинской помощи и по вопросам организации оказания медицинской помощи в системе обязательного медицинского страхования (для лиц, не достигших возраста, установленного частью 2 статьи 54 Федерального закона от 21 ноября 2011 г. N 323-ФЗ &quot;Об основах охраны здоровья граждан в Российской Федерации&quot; (далее - Федеральный закон N 323-ФЗ), и граждан, признанных недееспособными, - согласие пр...">
        <w:r>
          <w:rPr>
            <w:sz w:val="24"/>
            <w:color w:val="0000ff"/>
          </w:rPr>
          <w:t xml:space="preserve">подпунктом 6 пункта 6</w:t>
        </w:r>
      </w:hyperlink>
      <w:r>
        <w:rPr>
          <w:sz w:val="24"/>
        </w:rPr>
        <w:t xml:space="preserve"> настоящих Правил:</w:t>
      </w:r>
    </w:p>
    <w:p>
      <w:pPr>
        <w:pStyle w:val="0"/>
        <w:spacing w:before="240" w:lineRule="auto"/>
        <w:ind w:firstLine="540"/>
        <w:jc w:val="both"/>
      </w:pPr>
      <w:r>
        <w:rPr>
          <w:sz w:val="24"/>
        </w:rPr>
        <w:t xml:space="preserve">адрес электронной почты (при наличии);</w:t>
      </w:r>
    </w:p>
    <w:p>
      <w:pPr>
        <w:pStyle w:val="0"/>
        <w:spacing w:before="240" w:lineRule="auto"/>
        <w:ind w:firstLine="540"/>
        <w:jc w:val="both"/>
      </w:pPr>
      <w:r>
        <w:rPr>
          <w:sz w:val="24"/>
        </w:rPr>
        <w:t xml:space="preserve">номер телефона (мобильный и/или стационарный);</w:t>
      </w:r>
    </w:p>
    <w:p>
      <w:pPr>
        <w:pStyle w:val="0"/>
        <w:spacing w:before="240" w:lineRule="auto"/>
        <w:ind w:firstLine="540"/>
        <w:jc w:val="both"/>
      </w:pPr>
      <w:r>
        <w:rPr>
          <w:sz w:val="24"/>
        </w:rPr>
        <w:t xml:space="preserve">почтовый адрес.</w:t>
      </w:r>
    </w:p>
    <w:p>
      <w:pPr>
        <w:pStyle w:val="0"/>
        <w:spacing w:before="240" w:lineRule="auto"/>
        <w:ind w:firstLine="540"/>
        <w:jc w:val="both"/>
      </w:pPr>
      <w:r>
        <w:rPr>
          <w:sz w:val="24"/>
        </w:rPr>
        <w:t xml:space="preserve">7. Застрахованное лицо или представитель (в том числе законный представитель) выбирает предпочтительные для него виды связи для информирования, заполняя при этом соответствующие поля раздела заявления о включении в единый регистр застрахованных лиц и/или заявления о выборе (замене) страховой медицинской организации.</w:t>
      </w:r>
    </w:p>
    <w:p>
      <w:pPr>
        <w:pStyle w:val="0"/>
        <w:spacing w:before="240" w:lineRule="auto"/>
        <w:ind w:firstLine="540"/>
        <w:jc w:val="both"/>
      </w:pPr>
      <w:r>
        <w:rPr>
          <w:sz w:val="24"/>
        </w:rPr>
        <w:t xml:space="preserve">8. Застрахованное лицо или представитель (в том числе законный представитель) уведомляет страховые медицинские организации об изменении контактных данных, указанных в заявлении о включении в единый регистр застрахованных лиц и заявлении о выборе (замене) страховой медицинской организации посредством направления уведомления об изменении контактных данных, бланк которого размещен в соответствии с форматами информационного взаимодействия в сфере обязательного медицинского страхования, опубликованными на официальном сайте Федерального фонда в информационно-телекоммуникационной сети "Интернет".</w:t>
      </w:r>
    </w:p>
    <w:p>
      <w:pPr>
        <w:pStyle w:val="0"/>
        <w:spacing w:before="240" w:lineRule="auto"/>
        <w:ind w:firstLine="540"/>
        <w:jc w:val="both"/>
      </w:pPr>
      <w:r>
        <w:rPr>
          <w:sz w:val="24"/>
        </w:rPr>
        <w:t xml:space="preserve">9. В случае подачи в соответствии с </w:t>
      </w:r>
      <w:hyperlink w:history="0" r:id="rId29" w:tooltip="Федеральный закон от 29.11.2010 N 326-ФЗ (ред. от 20.02.2026) &quot;Об обязательном медицинском страховании в Российской Федерации&quot; {КонсультантПлюс}">
        <w:r>
          <w:rPr>
            <w:sz w:val="24"/>
            <w:color w:val="0000ff"/>
          </w:rPr>
          <w:t xml:space="preserve">частью 1 статьи 46</w:t>
        </w:r>
      </w:hyperlink>
      <w:r>
        <w:rPr>
          <w:sz w:val="24"/>
        </w:rPr>
        <w:t xml:space="preserve"> Федерального закона застрахованным лицом лично или через представителя (в том числе законного представителя) заявления о включении в единый регистр застрахованных лиц одновременно с ним подается заявление о выборе (замене) страховой медицинской организации.</w:t>
      </w:r>
    </w:p>
    <w:bookmarkStart w:id="96" w:name="P96"/>
    <w:bookmarkEnd w:id="96"/>
    <w:p>
      <w:pPr>
        <w:pStyle w:val="0"/>
        <w:spacing w:before="240" w:lineRule="auto"/>
        <w:ind w:firstLine="540"/>
        <w:jc w:val="both"/>
      </w:pPr>
      <w:r>
        <w:rPr>
          <w:sz w:val="24"/>
        </w:rPr>
        <w:t xml:space="preserve">10. Заявление о включении в единый регистр застрахованных лиц, заявление о выборе (замене) страховой медицинской организации, уведомление об изменении контактных данных подаются в следующих формах:</w:t>
      </w:r>
    </w:p>
    <w:p>
      <w:pPr>
        <w:pStyle w:val="0"/>
        <w:spacing w:before="240" w:lineRule="auto"/>
        <w:ind w:firstLine="540"/>
        <w:jc w:val="both"/>
      </w:pPr>
      <w:r>
        <w:rPr>
          <w:sz w:val="24"/>
        </w:rPr>
        <w:t xml:space="preserve">1) на бумажном носителе, путем обращения в страховую медицинскую организацию (иную организацию);</w:t>
      </w:r>
    </w:p>
    <w:p>
      <w:pPr>
        <w:pStyle w:val="0"/>
        <w:spacing w:before="240" w:lineRule="auto"/>
        <w:ind w:firstLine="540"/>
        <w:jc w:val="both"/>
      </w:pPr>
      <w:r>
        <w:rPr>
          <w:sz w:val="24"/>
        </w:rPr>
        <w:t xml:space="preserve">2) электронного документа, направляемого через официальный сайт территориального фонда в информационно-телекоммуникационной сети "Интернет" (далее - официальный сайт) (при условии прохождения застрахованным лицом или законным представителем процедуры идентификации и аутентификации в соответствии с законодательством Российской Федерации &lt;3&gt;);</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&lt;3&gt; </w:t>
      </w:r>
      <w:hyperlink w:history="0" r:id="rId30" w:tooltip="Постановление Правительства РФ от 28.11.2011 N 977 (ред. от 23.03.2024) &quot;О федеральной государственной информационной системе &quot;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quot; (вместе с &quot;Требованиями к федеральной государственной информационной системе &quot;Единая система идентификации и аутентификации в инфраструктуре, обесп {КонсультантПлюс}">
        <w:r>
          <w:rPr>
            <w:sz w:val="24"/>
            <w:color w:val="0000ff"/>
          </w:rPr>
          <w:t xml:space="preserve">Постановление</w:t>
        </w:r>
      </w:hyperlink>
      <w:r>
        <w:rPr>
          <w:sz w:val="24"/>
        </w:rPr>
        <w:t xml:space="preserve"> Правительства Российской Федерации от 28 ноября 2011 г. N 977 "О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pPr>
        <w:pStyle w:val="0"/>
        <w:jc w:val="both"/>
      </w:pPr>
      <w:r>
        <w:rPr>
          <w:sz w:val="24"/>
        </w:rPr>
      </w:r>
    </w:p>
    <w:p>
      <w:pPr>
        <w:pStyle w:val="0"/>
        <w:ind w:firstLine="540"/>
        <w:jc w:val="both"/>
      </w:pPr>
      <w:r>
        <w:rPr>
          <w:sz w:val="24"/>
        </w:rPr>
        <w:t xml:space="preserve">3) услуги посредством федеральной государственной информационной системы "Единый портал государственных и муниципальных услуг (функций)" &lt;4&gt; (далее - Единый портал государственных и муниципальных услуг (функций), за исключением подачи уведомления об изменении контактных данных.</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&lt;4&gt; </w:t>
      </w:r>
      <w:hyperlink w:history="0" r:id="rId31" w:tooltip="Постановление Правительства РФ от 24.10.2011 N 861 (ред. от 17.12.2025) &quot;О федеральных государственных информационных системах, обеспечивающих предоставление в электронной форме государственных и муниципальных услуг (осуществление функций)&quot; (вместе с &quot;Положением о федеральной государственной информационной системе &quot;Федеральный реестр государственных и муниципальных услуг (функций)&quot;, &quot;Правилами ведения федеральной государственной информационной системы &quot;Федеральный реестр государственных и муниципальных услу {КонсультантПлюс}">
        <w:r>
          <w:rPr>
            <w:sz w:val="24"/>
            <w:color w:val="0000ff"/>
          </w:rPr>
          <w:t xml:space="preserve">Положение</w:t>
        </w:r>
      </w:hyperlink>
      <w:r>
        <w:rPr>
          <w:sz w:val="24"/>
        </w:rPr>
        <w:t xml:space="preserve"> о федеральной государственной информационной системе "Единый портал государственных и муниципальных услуг (функций)", утвержденное постановлением Правительства Российской Федерации от 24 октября 2011 г. N 861.</w:t>
      </w:r>
    </w:p>
    <w:p>
      <w:pPr>
        <w:pStyle w:val="0"/>
        <w:jc w:val="both"/>
      </w:pPr>
      <w:r>
        <w:rPr>
          <w:sz w:val="24"/>
        </w:rPr>
      </w:r>
    </w:p>
    <w:p>
      <w:pPr>
        <w:pStyle w:val="0"/>
        <w:ind w:firstLine="540"/>
        <w:jc w:val="both"/>
      </w:pPr>
      <w:r>
        <w:rPr>
          <w:sz w:val="24"/>
        </w:rPr>
        <w:t xml:space="preserve">11. В случае признания несовершеннолетнего в соответствии со </w:t>
      </w:r>
      <w:hyperlink w:history="0" r:id="rId32" w:tooltip="&quot;Гражданский кодекс Российской Федерации (часть первая)&quot; от 30.11.1994 N 51-ФЗ (ред. от 10.06.2026) {КонсультантПлюс}">
        <w:r>
          <w:rPr>
            <w:sz w:val="24"/>
            <w:color w:val="0000ff"/>
          </w:rPr>
          <w:t xml:space="preserve">статьями 21</w:t>
        </w:r>
      </w:hyperlink>
      <w:r>
        <w:rPr>
          <w:sz w:val="24"/>
        </w:rPr>
        <w:t xml:space="preserve"> и </w:t>
      </w:r>
      <w:hyperlink w:history="0" r:id="rId33" w:tooltip="&quot;Гражданский кодекс Российской Федерации (часть первая)&quot; от 30.11.1994 N 51-ФЗ (ред. от 10.06.2026) {КонсультантПлюс}">
        <w:r>
          <w:rPr>
            <w:sz w:val="24"/>
            <w:color w:val="0000ff"/>
          </w:rPr>
          <w:t xml:space="preserve">27</w:t>
        </w:r>
      </w:hyperlink>
      <w:r>
        <w:rPr>
          <w:sz w:val="24"/>
        </w:rPr>
        <w:t xml:space="preserve"> Гражданского кодекса Российской Федерации дееспособным (эмансипация), подача заявления о выборе (замене) страховой медицинской организации и заявления о включении в единый регистр застрахованных лиц осуществляется на бумажном носителе непосредственно в страховую медицинскую организацию (или иную организацию) при предоставлении подтверждающих его дееспособность документов.</w:t>
      </w:r>
    </w:p>
    <w:p>
      <w:pPr>
        <w:pStyle w:val="0"/>
        <w:spacing w:before="240" w:lineRule="auto"/>
        <w:ind w:firstLine="540"/>
        <w:jc w:val="both"/>
      </w:pPr>
      <w:r>
        <w:rPr>
          <w:sz w:val="24"/>
        </w:rPr>
        <w:t xml:space="preserve">12. При подаче заявления о включении в единый регистр застрахованных лиц и заявления о выборе (замене) страховой медицинской организации на бумажном носителе заявления заверяются подписью представителя страховой медицинской организации (иной организации), уполномоченного руководителем страховой медицинской организации (иной организации) на прием заявлений о выборе (замене) страховой медицинской организации, а также печатью страховой медицинской организации (иной организации), при наличии печати.</w:t>
      </w:r>
    </w:p>
    <w:p>
      <w:pPr>
        <w:pStyle w:val="0"/>
        <w:spacing w:before="240" w:lineRule="auto"/>
        <w:ind w:firstLine="540"/>
        <w:jc w:val="both"/>
      </w:pPr>
      <w:r>
        <w:rPr>
          <w:sz w:val="24"/>
        </w:rPr>
        <w:t xml:space="preserve">13. В случае подачи заявления о выборе (замене) страховой медицинской организации и заявления о включении в единый регистр застрахованных лиц в форме электронного документа через официальный сайт указанные заявления подписываются усиленной квалифицированной электронной подписью застрахованного лица или представителя (в том числе законного представителя). При принятии указанных заявлений территориальный фонд направляет заявителю подтверждение приема заявлений в соответствии с указанными в заявлениях видами связи для информирования.</w:t>
      </w:r>
    </w:p>
    <w:p>
      <w:pPr>
        <w:pStyle w:val="0"/>
        <w:spacing w:before="240" w:lineRule="auto"/>
        <w:ind w:firstLine="540"/>
        <w:jc w:val="both"/>
      </w:pPr>
      <w:r>
        <w:rPr>
          <w:sz w:val="24"/>
        </w:rPr>
        <w:t xml:space="preserve">14. При принятии заявления о включении в единый регистр застрахованных лиц и заявления о выборе (замене) страховой медицинской организации в рамках оказания услуги посредством Единого портала государственных и муниципальных услуг (функций) уведомления о приеме заявления отражаются на Едином портале государственных и муниципальных услуг (функций).</w:t>
      </w:r>
    </w:p>
    <w:p>
      <w:pPr>
        <w:pStyle w:val="0"/>
        <w:spacing w:before="240" w:lineRule="auto"/>
        <w:ind w:firstLine="540"/>
        <w:jc w:val="both"/>
      </w:pPr>
      <w:r>
        <w:rPr>
          <w:sz w:val="24"/>
        </w:rPr>
        <w:t xml:space="preserve">15. Запись в едином регистре застрахованных лиц формируется при первоначальном включении сведений о застрахованном лице в единый регистр застрахованных лиц территориальным фондом в случае подачи заявления о включении в единый регистр застрахованных лиц, поданного лицом лично или через представителя (в том числе законного представителя), а также при получении сведений в рамках межведомственного информационного взаимодействия в соответствии с Федеральным </w:t>
      </w:r>
      <w:hyperlink w:history="0" r:id="rId34" w:tooltip="Федеральный закон от 29.11.2010 N 326-ФЗ (ред. от 20.02.2026) &quot;Об обязательном медицинском страховании в Российской Федерации&quot; {КонсультантПлюс}">
        <w:r>
          <w:rPr>
            <w:sz w:val="24"/>
            <w:color w:val="0000ff"/>
          </w:rPr>
          <w:t xml:space="preserve">законом</w:t>
        </w:r>
      </w:hyperlink>
      <w:r>
        <w:rPr>
          <w:sz w:val="24"/>
        </w:rPr>
        <w:t xml:space="preserve"> в части: составления записи акта о рождении ребенка; приобретения лицом гражданства Российской Федерации.</w:t>
      </w:r>
    </w:p>
    <w:bookmarkStart w:id="111" w:name="P111"/>
    <w:bookmarkEnd w:id="111"/>
    <w:p>
      <w:pPr>
        <w:pStyle w:val="0"/>
        <w:spacing w:before="240" w:lineRule="auto"/>
        <w:ind w:firstLine="540"/>
        <w:jc w:val="both"/>
      </w:pPr>
      <w:r>
        <w:rPr>
          <w:sz w:val="24"/>
        </w:rPr>
        <w:t xml:space="preserve">16. Сведения, указанные в заявлении о выборе (замене) страховой медицинской организации и заявлении о включении в единый регистр застрахованных лиц, подаваемые на бумажном носителе, подтверждаются предъявлением оригиналов следующих документов, необходимых для регистрации в качестве застрахованного лица, или их заверенных копий &lt;5&gt;:</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&lt;5&gt; </w:t>
      </w:r>
      <w:hyperlink w:history="0" r:id="rId35" w:tooltip="&quot;Основы законодательства Российской Федерации о нотариате&quot; (утв. ВС РФ 11.02.1993 N 4462-1) (ред. от 10.06.2026) {КонсультантПлюс}">
        <w:r>
          <w:rPr>
            <w:sz w:val="24"/>
            <w:color w:val="0000ff"/>
          </w:rPr>
          <w:t xml:space="preserve">Основы</w:t>
        </w:r>
      </w:hyperlink>
      <w:r>
        <w:rPr>
          <w:sz w:val="24"/>
        </w:rPr>
        <w:t xml:space="preserve"> законодательства Российской Федерации о нотариате от 11 февраля 1993 г. N 4462-1.</w:t>
      </w:r>
    </w:p>
    <w:p>
      <w:pPr>
        <w:pStyle w:val="0"/>
        <w:jc w:val="both"/>
      </w:pPr>
      <w:r>
        <w:rPr>
          <w:sz w:val="24"/>
        </w:rPr>
      </w:r>
    </w:p>
    <w:p>
      <w:pPr>
        <w:pStyle w:val="0"/>
        <w:ind w:firstLine="540"/>
        <w:jc w:val="both"/>
      </w:pPr>
      <w:r>
        <w:rPr>
          <w:sz w:val="24"/>
        </w:rPr>
        <w:t xml:space="preserve">1) для детей после государственной регистрации рождения и до четырнадцати лет, являющихся гражданами Российской Федерации:</w:t>
      </w:r>
    </w:p>
    <w:p>
      <w:pPr>
        <w:pStyle w:val="0"/>
        <w:spacing w:before="240" w:lineRule="auto"/>
        <w:ind w:firstLine="540"/>
        <w:jc w:val="both"/>
      </w:pPr>
      <w:r>
        <w:rPr>
          <w:sz w:val="24"/>
        </w:rPr>
        <w:t xml:space="preserve">свидетельство о рождении;</w:t>
      </w:r>
    </w:p>
    <w:p>
      <w:pPr>
        <w:pStyle w:val="0"/>
        <w:spacing w:before="240" w:lineRule="auto"/>
        <w:ind w:firstLine="540"/>
        <w:jc w:val="both"/>
      </w:pPr>
      <w:r>
        <w:rPr>
          <w:sz w:val="24"/>
        </w:rPr>
        <w:t xml:space="preserve">СНИЛС;</w:t>
      </w:r>
    </w:p>
    <w:p>
      <w:pPr>
        <w:pStyle w:val="0"/>
        <w:spacing w:before="240" w:lineRule="auto"/>
        <w:ind w:firstLine="540"/>
        <w:jc w:val="both"/>
      </w:pPr>
      <w:r>
        <w:rPr>
          <w:sz w:val="24"/>
        </w:rPr>
        <w:t xml:space="preserve">2) для граждан Российской Федерации в возрасте четырнадцати лет и старше:</w:t>
      </w:r>
    </w:p>
    <w:p>
      <w:pPr>
        <w:pStyle w:val="0"/>
        <w:spacing w:before="240" w:lineRule="auto"/>
        <w:ind w:firstLine="540"/>
        <w:jc w:val="both"/>
      </w:pPr>
      <w:r>
        <w:rPr>
          <w:sz w:val="24"/>
        </w:rPr>
        <w:t xml:space="preserve">документ, удостоверяющий личность;</w:t>
      </w:r>
    </w:p>
    <w:p>
      <w:pPr>
        <w:pStyle w:val="0"/>
        <w:spacing w:before="240" w:lineRule="auto"/>
        <w:ind w:firstLine="540"/>
        <w:jc w:val="both"/>
      </w:pPr>
      <w:r>
        <w:rPr>
          <w:sz w:val="24"/>
        </w:rPr>
        <w:t xml:space="preserve">СНИЛС;</w:t>
      </w:r>
    </w:p>
    <w:bookmarkStart w:id="121" w:name="P121"/>
    <w:bookmarkEnd w:id="121"/>
    <w:p>
      <w:pPr>
        <w:pStyle w:val="0"/>
        <w:spacing w:before="240" w:lineRule="auto"/>
        <w:ind w:firstLine="540"/>
        <w:jc w:val="both"/>
      </w:pPr>
      <w:r>
        <w:rPr>
          <w:sz w:val="24"/>
        </w:rPr>
        <w:t xml:space="preserve">3) для иностранных граждан, постоянно проживающих в Российской Федерации:</w:t>
      </w:r>
    </w:p>
    <w:p>
      <w:pPr>
        <w:pStyle w:val="0"/>
        <w:spacing w:before="240" w:lineRule="auto"/>
        <w:ind w:firstLine="540"/>
        <w:jc w:val="both"/>
      </w:pPr>
      <w:r>
        <w:rPr>
          <w:sz w:val="24"/>
        </w:rPr>
        <w:t xml:space="preserve">паспорт иностранного гражданина либо иной документ, установленный федеральным законом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 &lt;6&gt;;</w:t>
      </w:r>
    </w:p>
    <w:p>
      <w:pPr>
        <w:pStyle w:val="0"/>
        <w:spacing w:before="240" w:lineRule="auto"/>
        <w:ind w:firstLine="540"/>
        <w:jc w:val="both"/>
      </w:pPr>
      <w:r>
        <w:rPr>
          <w:sz w:val="24"/>
        </w:rPr>
        <w:t xml:space="preserve">--------------------------------</w:t>
      </w:r>
    </w:p>
    <w:bookmarkStart w:id="124" w:name="P124"/>
    <w:bookmarkEnd w:id="124"/>
    <w:p>
      <w:pPr>
        <w:pStyle w:val="0"/>
        <w:spacing w:before="240" w:lineRule="auto"/>
        <w:ind w:firstLine="540"/>
        <w:jc w:val="both"/>
      </w:pPr>
      <w:r>
        <w:rPr>
          <w:sz w:val="24"/>
        </w:rPr>
        <w:t xml:space="preserve">&lt;6&gt; </w:t>
      </w:r>
      <w:hyperlink w:history="0" r:id="rId36" w:tooltip="Федеральный закон от 25.07.2002 N 115-ФЗ (ред. от 26.06.2026) &quot;О правовом положении иностранных граждан в Российской Федерации&quot; {КонсультантПлюс}">
        <w:r>
          <w:rPr>
            <w:sz w:val="24"/>
            <w:color w:val="0000ff"/>
          </w:rPr>
          <w:t xml:space="preserve">Статья 10</w:t>
        </w:r>
      </w:hyperlink>
      <w:r>
        <w:rPr>
          <w:sz w:val="24"/>
        </w:rPr>
        <w:t xml:space="preserve"> Федерального закона от 25 июля 2002 г. N 115-ФЗ "О правовом положении иностранных граждан в Российской Федерации" (далее - Федеральный закон N 115-ФЗ).</w:t>
      </w:r>
    </w:p>
    <w:p>
      <w:pPr>
        <w:pStyle w:val="0"/>
        <w:ind w:firstLine="540"/>
        <w:jc w:val="both"/>
      </w:pPr>
      <w:r>
        <w:rPr>
          <w:sz w:val="24"/>
        </w:rPr>
      </w:r>
    </w:p>
    <w:p>
      <w:pPr>
        <w:pStyle w:val="0"/>
        <w:ind w:firstLine="540"/>
        <w:jc w:val="both"/>
      </w:pPr>
      <w:r>
        <w:rPr>
          <w:sz w:val="24"/>
        </w:rPr>
        <w:t xml:space="preserve">вид на жительство;</w:t>
      </w:r>
    </w:p>
    <w:p>
      <w:pPr>
        <w:pStyle w:val="0"/>
        <w:spacing w:before="240" w:lineRule="auto"/>
        <w:ind w:firstLine="540"/>
        <w:jc w:val="both"/>
      </w:pPr>
      <w:r>
        <w:rPr>
          <w:sz w:val="24"/>
        </w:rPr>
        <w:t xml:space="preserve">СНИЛС (при наличии);</w:t>
      </w:r>
    </w:p>
    <w:bookmarkStart w:id="128" w:name="P128"/>
    <w:bookmarkEnd w:id="128"/>
    <w:p>
      <w:pPr>
        <w:pStyle w:val="0"/>
        <w:spacing w:before="240" w:lineRule="auto"/>
        <w:ind w:firstLine="540"/>
        <w:jc w:val="both"/>
      </w:pPr>
      <w:r>
        <w:rPr>
          <w:sz w:val="24"/>
        </w:rPr>
        <w:t xml:space="preserve">4) для лиц без гражданства, постоянно проживающих в Российской Федерации:</w:t>
      </w:r>
    </w:p>
    <w:p>
      <w:pPr>
        <w:pStyle w:val="0"/>
        <w:spacing w:before="240" w:lineRule="auto"/>
        <w:ind w:firstLine="540"/>
        <w:jc w:val="both"/>
      </w:pPr>
      <w:r>
        <w:rPr>
          <w:sz w:val="24"/>
        </w:rPr>
        <w:t xml:space="preserve">документ, выданный иностранным государством и признаваемый в соответствии с международным договором Российской Федерации в качестве документа, удостоверяющего личность лица без гражданства и/или вид на жительство </w:t>
      </w:r>
      <w:hyperlink w:history="0" w:anchor="P124" w:tooltip="&lt;6&gt; Статья 10 Федерального закона от 25 июля 2002 г. N 115-ФЗ &quot;О правовом положении иностранных граждан в Российской Федерации&quot; (далее - Федеральный закон N 115-ФЗ).">
        <w:r>
          <w:rPr>
            <w:sz w:val="24"/>
            <w:color w:val="0000ff"/>
          </w:rPr>
          <w:t xml:space="preserve">&lt;6&gt;</w:t>
        </w:r>
      </w:hyperlink>
      <w:r>
        <w:rPr>
          <w:sz w:val="24"/>
        </w:rPr>
        <w:t xml:space="preserve">;</w:t>
      </w:r>
    </w:p>
    <w:p>
      <w:pPr>
        <w:pStyle w:val="0"/>
        <w:spacing w:before="240" w:lineRule="auto"/>
        <w:ind w:firstLine="540"/>
        <w:jc w:val="both"/>
      </w:pPr>
      <w:r>
        <w:rPr>
          <w:sz w:val="24"/>
        </w:rPr>
        <w:t xml:space="preserve">СНИЛС (при наличии);</w:t>
      </w:r>
    </w:p>
    <w:bookmarkStart w:id="131" w:name="P131"/>
    <w:bookmarkEnd w:id="131"/>
    <w:p>
      <w:pPr>
        <w:pStyle w:val="0"/>
        <w:spacing w:before="240" w:lineRule="auto"/>
        <w:ind w:firstLine="540"/>
        <w:jc w:val="both"/>
      </w:pPr>
      <w:r>
        <w:rPr>
          <w:sz w:val="24"/>
        </w:rPr>
        <w:t xml:space="preserve">5) для лиц, имеющих право на медицинскую помощь в соответствии с Федеральным </w:t>
      </w:r>
      <w:hyperlink w:history="0" r:id="rId37" w:tooltip="Федеральный закон от 19.02.1993 N 4528-1 (ред. от 23.07.2025) &quot;О беженцах&quot; {КонсультантПлюс}">
        <w:r>
          <w:rPr>
            <w:sz w:val="24"/>
            <w:color w:val="0000ff"/>
          </w:rPr>
          <w:t xml:space="preserve">законом</w:t>
        </w:r>
      </w:hyperlink>
      <w:r>
        <w:rPr>
          <w:sz w:val="24"/>
        </w:rPr>
        <w:t xml:space="preserve"> от 19 февраля 1993 г. N 4528-1 "О беженцах" (далее - Федеральный закон "О беженцах"):</w:t>
      </w:r>
    </w:p>
    <w:p>
      <w:pPr>
        <w:pStyle w:val="0"/>
        <w:spacing w:before="240" w:lineRule="auto"/>
        <w:ind w:firstLine="540"/>
        <w:jc w:val="both"/>
      </w:pPr>
      <w:r>
        <w:rPr>
          <w:sz w:val="24"/>
        </w:rPr>
        <w:t xml:space="preserve">удостоверение беженца, или свидетельство о рассмотрении ходатайства о признании беженцем по существу, или копия жалобы на решение о лишении статуса беженца в федеральный орган исполнительной власти в сфере внутренних дел, или свидетельство о предоставлении временного убежища на территории Российской Федерации;</w:t>
      </w:r>
    </w:p>
    <w:bookmarkStart w:id="133" w:name="P133"/>
    <w:bookmarkEnd w:id="133"/>
    <w:p>
      <w:pPr>
        <w:pStyle w:val="0"/>
        <w:spacing w:before="240" w:lineRule="auto"/>
        <w:ind w:firstLine="540"/>
        <w:jc w:val="both"/>
      </w:pPr>
      <w:r>
        <w:rPr>
          <w:sz w:val="24"/>
        </w:rPr>
        <w:t xml:space="preserve">6) для иностранных граждан, временно проживающих в Российской Федерации:</w:t>
      </w:r>
    </w:p>
    <w:p>
      <w:pPr>
        <w:pStyle w:val="0"/>
        <w:spacing w:before="240" w:lineRule="auto"/>
        <w:ind w:firstLine="540"/>
        <w:jc w:val="both"/>
      </w:pPr>
      <w:r>
        <w:rPr>
          <w:sz w:val="24"/>
        </w:rPr>
        <w:t xml:space="preserve">паспорт иностранного гражданина либо иной документ, установленный федеральным законом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 с отметкой о разрешении на временное проживание в Российской Федерации &lt;7&gt;;</w:t>
      </w:r>
    </w:p>
    <w:p>
      <w:pPr>
        <w:pStyle w:val="0"/>
        <w:spacing w:before="240" w:lineRule="auto"/>
        <w:ind w:firstLine="540"/>
        <w:jc w:val="both"/>
      </w:pPr>
      <w:r>
        <w:rPr>
          <w:sz w:val="24"/>
        </w:rPr>
        <w:t xml:space="preserve">--------------------------------</w:t>
      </w:r>
    </w:p>
    <w:bookmarkStart w:id="136" w:name="P136"/>
    <w:bookmarkEnd w:id="136"/>
    <w:p>
      <w:pPr>
        <w:pStyle w:val="0"/>
        <w:spacing w:before="240" w:lineRule="auto"/>
        <w:ind w:firstLine="540"/>
        <w:jc w:val="both"/>
      </w:pPr>
      <w:r>
        <w:rPr>
          <w:sz w:val="24"/>
        </w:rPr>
        <w:t xml:space="preserve">&lt;7&gt; </w:t>
      </w:r>
      <w:hyperlink w:history="0" r:id="rId38" w:tooltip="Федеральный закон от 25.07.2002 N 115-ФЗ (ред. от 26.06.2026) &quot;О правовом положении иностранных граждан в Российской Федерации&quot; {КонсультантПлюс}">
        <w:r>
          <w:rPr>
            <w:sz w:val="24"/>
            <w:color w:val="0000ff"/>
          </w:rPr>
          <w:t xml:space="preserve">Статья 10</w:t>
        </w:r>
      </w:hyperlink>
      <w:r>
        <w:rPr>
          <w:sz w:val="24"/>
        </w:rPr>
        <w:t xml:space="preserve"> Федерального закона N 115-ФЗ.</w:t>
      </w:r>
    </w:p>
    <w:p>
      <w:pPr>
        <w:pStyle w:val="0"/>
        <w:ind w:firstLine="540"/>
        <w:jc w:val="both"/>
      </w:pPr>
      <w:r>
        <w:rPr>
          <w:sz w:val="24"/>
        </w:rPr>
      </w:r>
    </w:p>
    <w:p>
      <w:pPr>
        <w:pStyle w:val="0"/>
        <w:ind w:firstLine="540"/>
        <w:jc w:val="both"/>
      </w:pPr>
      <w:r>
        <w:rPr>
          <w:sz w:val="24"/>
        </w:rPr>
        <w:t xml:space="preserve">СНИЛС (при наличии);</w:t>
      </w:r>
    </w:p>
    <w:bookmarkStart w:id="139" w:name="P139"/>
    <w:bookmarkEnd w:id="139"/>
    <w:p>
      <w:pPr>
        <w:pStyle w:val="0"/>
        <w:spacing w:before="240" w:lineRule="auto"/>
        <w:ind w:firstLine="540"/>
        <w:jc w:val="both"/>
      </w:pPr>
      <w:r>
        <w:rPr>
          <w:sz w:val="24"/>
        </w:rPr>
        <w:t xml:space="preserve">7) для лиц без гражданства, временно проживающих в Российской Федерации:</w:t>
      </w:r>
    </w:p>
    <w:p>
      <w:pPr>
        <w:pStyle w:val="0"/>
        <w:spacing w:before="240" w:lineRule="auto"/>
        <w:ind w:firstLine="540"/>
        <w:jc w:val="both"/>
      </w:pPr>
      <w:r>
        <w:rPr>
          <w:sz w:val="24"/>
        </w:rPr>
        <w:t xml:space="preserve">документ, выданный иностранным государством и признаваемый в соответствии с международным договором Российской Федерации в качестве документа, удостоверяющего личность лица без гражданства, с отметкой о разрешении на временное проживание в Российской Федерации либо документ установленной формы, выдаваемый в Российской Федерации лицу без гражданства, не имеющему документа, удостоверяющего его личность </w:t>
      </w:r>
      <w:hyperlink w:history="0" w:anchor="P136" w:tooltip="&lt;7&gt; Статья 10 Федерального закона N 115-ФЗ.">
        <w:r>
          <w:rPr>
            <w:sz w:val="24"/>
            <w:color w:val="0000ff"/>
          </w:rPr>
          <w:t xml:space="preserve">&lt;7&gt;</w:t>
        </w:r>
      </w:hyperlink>
      <w:r>
        <w:rPr>
          <w:sz w:val="24"/>
        </w:rPr>
        <w:t xml:space="preserve">;</w:t>
      </w:r>
    </w:p>
    <w:p>
      <w:pPr>
        <w:pStyle w:val="0"/>
        <w:spacing w:before="240" w:lineRule="auto"/>
        <w:ind w:firstLine="540"/>
        <w:jc w:val="both"/>
      </w:pPr>
      <w:r>
        <w:rPr>
          <w:sz w:val="24"/>
        </w:rPr>
        <w:t xml:space="preserve">СНИЛС (при наличии).</w:t>
      </w:r>
    </w:p>
    <w:p>
      <w:pPr>
        <w:pStyle w:val="0"/>
        <w:spacing w:before="240" w:lineRule="auto"/>
        <w:ind w:firstLine="540"/>
        <w:jc w:val="both"/>
      </w:pPr>
      <w:r>
        <w:rPr>
          <w:sz w:val="24"/>
        </w:rPr>
        <w:t xml:space="preserve">8) для представителя:</w:t>
      </w:r>
    </w:p>
    <w:p>
      <w:pPr>
        <w:pStyle w:val="0"/>
        <w:spacing w:before="240" w:lineRule="auto"/>
        <w:ind w:firstLine="540"/>
        <w:jc w:val="both"/>
      </w:pPr>
      <w:r>
        <w:rPr>
          <w:sz w:val="24"/>
        </w:rPr>
        <w:t xml:space="preserve">документ, удостоверяющий личность;</w:t>
      </w:r>
    </w:p>
    <w:p>
      <w:pPr>
        <w:pStyle w:val="0"/>
        <w:spacing w:before="240" w:lineRule="auto"/>
        <w:ind w:firstLine="540"/>
        <w:jc w:val="both"/>
      </w:pPr>
      <w:r>
        <w:rPr>
          <w:sz w:val="24"/>
        </w:rPr>
        <w:t xml:space="preserve">СНИЛС (при наличии);</w:t>
      </w:r>
    </w:p>
    <w:p>
      <w:pPr>
        <w:pStyle w:val="0"/>
        <w:spacing w:before="240" w:lineRule="auto"/>
        <w:ind w:firstLine="540"/>
        <w:jc w:val="both"/>
      </w:pPr>
      <w:r>
        <w:rPr>
          <w:sz w:val="24"/>
        </w:rPr>
        <w:t xml:space="preserve">полис (при наличии);</w:t>
      </w:r>
    </w:p>
    <w:p>
      <w:pPr>
        <w:pStyle w:val="0"/>
        <w:spacing w:before="240" w:lineRule="auto"/>
        <w:ind w:firstLine="540"/>
        <w:jc w:val="both"/>
      </w:pPr>
      <w:r>
        <w:rPr>
          <w:sz w:val="24"/>
        </w:rPr>
        <w:t xml:space="preserve">доверенность на регистрацию в качестве застрахованного лица в выбранной страховой медицинской организации, оформленная в соответствии со </w:t>
      </w:r>
      <w:hyperlink w:history="0" r:id="rId39" w:tooltip="&quot;Гражданский кодекс Российской Федерации (часть первая)&quot; от 30.11.1994 N 51-ФЗ (ред. от 10.06.2026) {КонсультантПлюс}">
        <w:r>
          <w:rPr>
            <w:sz w:val="24"/>
            <w:color w:val="0000ff"/>
          </w:rPr>
          <w:t xml:space="preserve">статьей 185</w:t>
        </w:r>
      </w:hyperlink>
      <w:r>
        <w:rPr>
          <w:sz w:val="24"/>
        </w:rPr>
        <w:t xml:space="preserve"> Гражданского кодекса Российской Федерации;</w:t>
      </w:r>
    </w:p>
    <w:p>
      <w:pPr>
        <w:pStyle w:val="0"/>
        <w:spacing w:before="240" w:lineRule="auto"/>
        <w:ind w:firstLine="540"/>
        <w:jc w:val="both"/>
      </w:pPr>
      <w:r>
        <w:rPr>
          <w:sz w:val="24"/>
        </w:rPr>
        <w:t xml:space="preserve">9) для законного представителя:</w:t>
      </w:r>
    </w:p>
    <w:p>
      <w:pPr>
        <w:pStyle w:val="0"/>
        <w:spacing w:before="240" w:lineRule="auto"/>
        <w:ind w:firstLine="540"/>
        <w:jc w:val="both"/>
      </w:pPr>
      <w:r>
        <w:rPr>
          <w:sz w:val="24"/>
        </w:rPr>
        <w:t xml:space="preserve">документ, удостоверяющий личность;</w:t>
      </w:r>
    </w:p>
    <w:p>
      <w:pPr>
        <w:pStyle w:val="0"/>
        <w:spacing w:before="240" w:lineRule="auto"/>
        <w:ind w:firstLine="540"/>
        <w:jc w:val="both"/>
      </w:pPr>
      <w:r>
        <w:rPr>
          <w:sz w:val="24"/>
        </w:rPr>
        <w:t xml:space="preserve">документ, удостоверяющий статус законного представителя;</w:t>
      </w:r>
    </w:p>
    <w:p>
      <w:pPr>
        <w:pStyle w:val="0"/>
        <w:spacing w:before="240" w:lineRule="auto"/>
        <w:ind w:firstLine="540"/>
        <w:jc w:val="both"/>
      </w:pPr>
      <w:r>
        <w:rPr>
          <w:sz w:val="24"/>
        </w:rPr>
        <w:t xml:space="preserve">СНИЛС (при наличии);</w:t>
      </w:r>
    </w:p>
    <w:p>
      <w:pPr>
        <w:pStyle w:val="0"/>
        <w:spacing w:before="240" w:lineRule="auto"/>
        <w:ind w:firstLine="540"/>
        <w:jc w:val="both"/>
      </w:pPr>
      <w:r>
        <w:rPr>
          <w:sz w:val="24"/>
        </w:rPr>
        <w:t xml:space="preserve">полис (при наличии).</w:t>
      </w:r>
    </w:p>
    <w:bookmarkStart w:id="152" w:name="P152"/>
    <w:bookmarkEnd w:id="152"/>
    <w:p>
      <w:pPr>
        <w:pStyle w:val="0"/>
        <w:spacing w:before="240" w:lineRule="auto"/>
        <w:ind w:firstLine="540"/>
        <w:jc w:val="both"/>
      </w:pPr>
      <w:r>
        <w:rPr>
          <w:sz w:val="24"/>
        </w:rPr>
        <w:t xml:space="preserve">17. В случае подачи застрахованным лицом или его законным представителем заявления о включении в единый регистр застрахованных лиц и/или заявления о выборе (замене) страховой медицинской организации в форме электронного документа представляются следующие верифицированные сведения из документов застрахованного лица:</w:t>
      </w:r>
    </w:p>
    <w:p>
      <w:pPr>
        <w:pStyle w:val="0"/>
        <w:spacing w:before="240" w:lineRule="auto"/>
        <w:ind w:firstLine="540"/>
        <w:jc w:val="both"/>
      </w:pPr>
      <w:r>
        <w:rPr>
          <w:sz w:val="24"/>
        </w:rPr>
        <w:t xml:space="preserve">1) для детей после государственной регистрации рождения и до четырнадцати лет, являющихся гражданами Российской Федерации:</w:t>
      </w:r>
    </w:p>
    <w:p>
      <w:pPr>
        <w:pStyle w:val="0"/>
        <w:spacing w:before="240" w:lineRule="auto"/>
        <w:ind w:firstLine="540"/>
        <w:jc w:val="both"/>
      </w:pPr>
      <w:r>
        <w:rPr>
          <w:sz w:val="24"/>
        </w:rPr>
        <w:t xml:space="preserve">реквизиты свидетельства о рождении;</w:t>
      </w:r>
    </w:p>
    <w:p>
      <w:pPr>
        <w:pStyle w:val="0"/>
        <w:spacing w:before="240" w:lineRule="auto"/>
        <w:ind w:firstLine="540"/>
        <w:jc w:val="both"/>
      </w:pPr>
      <w:r>
        <w:rPr>
          <w:sz w:val="24"/>
        </w:rPr>
        <w:t xml:space="preserve">реквизиты записи акта о рождении;</w:t>
      </w:r>
    </w:p>
    <w:p>
      <w:pPr>
        <w:pStyle w:val="0"/>
        <w:spacing w:before="240" w:lineRule="auto"/>
        <w:ind w:firstLine="540"/>
        <w:jc w:val="both"/>
      </w:pPr>
      <w:r>
        <w:rPr>
          <w:sz w:val="24"/>
        </w:rPr>
        <w:t xml:space="preserve">реквизиты документа, удостоверяющего личность законного представителя;</w:t>
      </w:r>
    </w:p>
    <w:p>
      <w:pPr>
        <w:pStyle w:val="0"/>
        <w:spacing w:before="240" w:lineRule="auto"/>
        <w:ind w:firstLine="540"/>
        <w:jc w:val="both"/>
      </w:pPr>
      <w:r>
        <w:rPr>
          <w:sz w:val="24"/>
        </w:rPr>
        <w:t xml:space="preserve">СНИЛС;</w:t>
      </w:r>
    </w:p>
    <w:p>
      <w:pPr>
        <w:pStyle w:val="0"/>
        <w:spacing w:before="240" w:lineRule="auto"/>
        <w:ind w:firstLine="540"/>
        <w:jc w:val="both"/>
      </w:pPr>
      <w:r>
        <w:rPr>
          <w:sz w:val="24"/>
        </w:rPr>
        <w:t xml:space="preserve">2) для граждан Российской Федерации в возрасте четырнадцати лет и старше:</w:t>
      </w:r>
    </w:p>
    <w:p>
      <w:pPr>
        <w:pStyle w:val="0"/>
        <w:spacing w:before="240" w:lineRule="auto"/>
        <w:ind w:firstLine="540"/>
        <w:jc w:val="both"/>
      </w:pPr>
      <w:r>
        <w:rPr>
          <w:sz w:val="24"/>
        </w:rPr>
        <w:t xml:space="preserve">реквизиты документа, удостоверяющего личность;</w:t>
      </w:r>
    </w:p>
    <w:p>
      <w:pPr>
        <w:pStyle w:val="0"/>
        <w:spacing w:before="240" w:lineRule="auto"/>
        <w:ind w:firstLine="540"/>
        <w:jc w:val="both"/>
      </w:pPr>
      <w:r>
        <w:rPr>
          <w:sz w:val="24"/>
        </w:rPr>
        <w:t xml:space="preserve">СНИЛС;</w:t>
      </w:r>
    </w:p>
    <w:p>
      <w:pPr>
        <w:pStyle w:val="0"/>
        <w:spacing w:before="240" w:lineRule="auto"/>
        <w:ind w:firstLine="540"/>
        <w:jc w:val="both"/>
      </w:pPr>
      <w:r>
        <w:rPr>
          <w:sz w:val="24"/>
        </w:rPr>
        <w:t xml:space="preserve">3) о законном представителе:</w:t>
      </w:r>
    </w:p>
    <w:p>
      <w:pPr>
        <w:pStyle w:val="0"/>
        <w:spacing w:before="240" w:lineRule="auto"/>
        <w:ind w:firstLine="540"/>
        <w:jc w:val="both"/>
      </w:pPr>
      <w:r>
        <w:rPr>
          <w:sz w:val="24"/>
        </w:rPr>
        <w:t xml:space="preserve">реквизиты документа, удостоверяющего личность;</w:t>
      </w:r>
    </w:p>
    <w:p>
      <w:pPr>
        <w:pStyle w:val="0"/>
        <w:spacing w:before="240" w:lineRule="auto"/>
        <w:ind w:firstLine="540"/>
        <w:jc w:val="both"/>
      </w:pPr>
      <w:r>
        <w:rPr>
          <w:sz w:val="24"/>
        </w:rPr>
        <w:t xml:space="preserve">статус представителя;</w:t>
      </w:r>
    </w:p>
    <w:p>
      <w:pPr>
        <w:pStyle w:val="0"/>
        <w:spacing w:before="240" w:lineRule="auto"/>
        <w:ind w:firstLine="540"/>
        <w:jc w:val="both"/>
      </w:pPr>
      <w:r>
        <w:rPr>
          <w:sz w:val="24"/>
        </w:rPr>
        <w:t xml:space="preserve">реквизиты документа, удостоверяющего статус представителя;</w:t>
      </w:r>
    </w:p>
    <w:p>
      <w:pPr>
        <w:pStyle w:val="0"/>
        <w:spacing w:before="240" w:lineRule="auto"/>
        <w:ind w:firstLine="540"/>
        <w:jc w:val="both"/>
      </w:pPr>
      <w:r>
        <w:rPr>
          <w:sz w:val="24"/>
        </w:rPr>
        <w:t xml:space="preserve">СНИЛС (при наличии).</w:t>
      </w:r>
    </w:p>
    <w:bookmarkStart w:id="166" w:name="P166"/>
    <w:bookmarkEnd w:id="166"/>
    <w:p>
      <w:pPr>
        <w:pStyle w:val="0"/>
        <w:spacing w:before="240" w:lineRule="auto"/>
        <w:ind w:firstLine="540"/>
        <w:jc w:val="both"/>
      </w:pPr>
      <w:r>
        <w:rPr>
          <w:sz w:val="24"/>
        </w:rPr>
        <w:t xml:space="preserve">18. Временно пребывающие на территории Российской Федерации в соответствии с </w:t>
      </w:r>
      <w:hyperlink w:history="0" r:id="rId40" w:tooltip="&quot;Договор о Евразийском экономическом союзе&quot; (Подписан в г. Астане 29.05.2014) (ред. от 25.05.2023) (с изм. и доп., вступ. в силу с 24.06.2024) {КонсультантПлюс}">
        <w:r>
          <w:rPr>
            <w:sz w:val="24"/>
            <w:color w:val="0000ff"/>
          </w:rPr>
          <w:t xml:space="preserve">договором</w:t>
        </w:r>
      </w:hyperlink>
      <w:r>
        <w:rPr>
          <w:sz w:val="24"/>
        </w:rPr>
        <w:t xml:space="preserve"> о Евразийском экономическом союзе, подписанным в г. Астане 29 мая 2014 г. &lt;8&gt; (далее соответственно - договор о ЕАЭС, ЕАЭС), трудящиеся иностранные граждане государств - членов ЕАЭС (далее - трудящийся государства - члена ЕАЭС), а также работающие на территории Российской Федерации члены Коллегии Евразийской экономической комиссии (далее - члены коллегии Комиссии), должностные лица (граждане государств - членов ЕАЭС, назначенные на должности директоров департаментов Евразийской экономической комиссии и заместителей директоров департаментов указанной комиссии), сотрудники органов ЕАЭС, находящихся на территории Российской Федерации (граждане государств - членов ЕАЭС, не являющиеся должностными лицами, на основе заключаемых с ними трудовых договоров (контрактов) (далее соответственно - член коллегии Комиссии, должностное лицо, сотрудник органа ЕАЭС), имеют право на выбор или замену страховой медицинской организации и на включение в единый регистр застрахованных лиц путем подачи заявления в порядке, установленном настоящей главой.</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&lt;8&gt; Официальный интернет-портал правовой информации </w:t>
      </w:r>
      <w:hyperlink w:history="0" r:id="rId41">
        <w:r>
          <w:rPr>
            <w:sz w:val="24"/>
            <w:color w:val="0000ff"/>
          </w:rPr>
          <w:t xml:space="preserve">http://pravo.gov.ru</w:t>
        </w:r>
      </w:hyperlink>
      <w:r>
        <w:rPr>
          <w:sz w:val="24"/>
        </w:rPr>
        <w:t xml:space="preserve">, 16 января 2015 г.</w:t>
      </w:r>
    </w:p>
    <w:p>
      <w:pPr>
        <w:pStyle w:val="0"/>
        <w:jc w:val="both"/>
      </w:pPr>
      <w:r>
        <w:rPr>
          <w:sz w:val="24"/>
        </w:rPr>
      </w:r>
    </w:p>
    <w:p>
      <w:pPr>
        <w:pStyle w:val="0"/>
        <w:ind w:firstLine="540"/>
        <w:jc w:val="both"/>
      </w:pPr>
      <w:r>
        <w:rPr>
          <w:sz w:val="24"/>
        </w:rPr>
        <w:t xml:space="preserve">19. Для выбора или замены страховой медицинской организации и для включения в единый регистр застрахованных лиц иностранный гражданин, указанный в </w:t>
      </w:r>
      <w:hyperlink w:history="0" w:anchor="P166" w:tooltip="18. Временно пребывающие на территории Российской Федерации в соответствии с договором о Евразийском экономическом союзе, подписанным в г. Астане 29 мая 2014 г. &lt;8&gt; (далее соответственно - договор о ЕАЭС, ЕАЭС), трудящиеся иностранные граждане государств - членов ЕАЭС (далее - трудящийся государства - члена ЕАЭС), а также работающие на территории Российской Федерации члены Коллегии Евразийской экономической комиссии (далее - члены коллегии Комиссии), должностные лица (граждане государств - членов ЕАЭС, н...">
        <w:r>
          <w:rPr>
            <w:sz w:val="24"/>
            <w:color w:val="0000ff"/>
          </w:rPr>
          <w:t xml:space="preserve">пункте 18</w:t>
        </w:r>
      </w:hyperlink>
      <w:r>
        <w:rPr>
          <w:sz w:val="24"/>
        </w:rPr>
        <w:t xml:space="preserve"> настоящих Правил, лично либо через представителя обращается в выбранную страховую медицинскую организацию (иные организации), с заявлением о выборе (замене) страховой медицинской организации, заявлением о включении в единый регистр застрахованных лиц, которые должны содержать следующие сведения о застрахованном лице:</w:t>
      </w:r>
    </w:p>
    <w:p>
      <w:pPr>
        <w:pStyle w:val="0"/>
        <w:spacing w:before="240" w:lineRule="auto"/>
        <w:ind w:firstLine="540"/>
        <w:jc w:val="both"/>
      </w:pPr>
      <w:r>
        <w:rPr>
          <w:sz w:val="24"/>
        </w:rPr>
        <w:t xml:space="preserve">фамилию, имя, отчество (при наличии);</w:t>
      </w:r>
    </w:p>
    <w:p>
      <w:pPr>
        <w:pStyle w:val="0"/>
        <w:spacing w:before="240" w:lineRule="auto"/>
        <w:ind w:firstLine="540"/>
        <w:jc w:val="both"/>
      </w:pPr>
      <w:r>
        <w:rPr>
          <w:sz w:val="24"/>
        </w:rPr>
        <w:t xml:space="preserve">пол;</w:t>
      </w:r>
    </w:p>
    <w:p>
      <w:pPr>
        <w:pStyle w:val="0"/>
        <w:spacing w:before="240" w:lineRule="auto"/>
        <w:ind w:firstLine="540"/>
        <w:jc w:val="both"/>
      </w:pPr>
      <w:r>
        <w:rPr>
          <w:sz w:val="24"/>
        </w:rPr>
        <w:t xml:space="preserve">дату рождения;</w:t>
      </w:r>
    </w:p>
    <w:p>
      <w:pPr>
        <w:pStyle w:val="0"/>
        <w:spacing w:before="240" w:lineRule="auto"/>
        <w:ind w:firstLine="540"/>
        <w:jc w:val="both"/>
      </w:pPr>
      <w:r>
        <w:rPr>
          <w:sz w:val="24"/>
        </w:rPr>
        <w:t xml:space="preserve">место рождения;</w:t>
      </w:r>
    </w:p>
    <w:p>
      <w:pPr>
        <w:pStyle w:val="0"/>
        <w:spacing w:before="240" w:lineRule="auto"/>
        <w:ind w:firstLine="540"/>
        <w:jc w:val="both"/>
      </w:pPr>
      <w:r>
        <w:rPr>
          <w:sz w:val="24"/>
        </w:rPr>
        <w:t xml:space="preserve">гражданство;</w:t>
      </w:r>
    </w:p>
    <w:p>
      <w:pPr>
        <w:pStyle w:val="0"/>
        <w:spacing w:before="240" w:lineRule="auto"/>
        <w:ind w:firstLine="540"/>
        <w:jc w:val="both"/>
      </w:pPr>
      <w:r>
        <w:rPr>
          <w:sz w:val="24"/>
        </w:rPr>
        <w:t xml:space="preserve">СНИЛС.</w:t>
      </w:r>
    </w:p>
    <w:p>
      <w:pPr>
        <w:pStyle w:val="0"/>
        <w:spacing w:before="240" w:lineRule="auto"/>
        <w:ind w:firstLine="540"/>
        <w:jc w:val="both"/>
      </w:pPr>
      <w:r>
        <w:rPr>
          <w:sz w:val="24"/>
        </w:rPr>
        <w:t xml:space="preserve">В качестве реквизитов документа, удостоверяющего личность, указываются:</w:t>
      </w:r>
    </w:p>
    <w:p>
      <w:pPr>
        <w:pStyle w:val="0"/>
        <w:spacing w:before="240" w:lineRule="auto"/>
        <w:ind w:firstLine="540"/>
        <w:jc w:val="both"/>
      </w:pPr>
      <w:r>
        <w:rPr>
          <w:sz w:val="24"/>
        </w:rPr>
        <w:t xml:space="preserve">серия, номер паспорта иностранного гражданина либо иного документа, установленного федеральным законом или признаваемого в соответствии с международным договором Российской Федерации в качестве документа, удостоверяющего личность иностранного гражданина, в том числе сведения о дате выдачи документа и выдавшем его органе;</w:t>
      </w:r>
    </w:p>
    <w:p>
      <w:pPr>
        <w:pStyle w:val="0"/>
        <w:spacing w:before="240" w:lineRule="auto"/>
        <w:ind w:firstLine="540"/>
        <w:jc w:val="both"/>
      </w:pPr>
      <w:r>
        <w:rPr>
          <w:sz w:val="24"/>
        </w:rPr>
        <w:t xml:space="preserve">реквизиты трудового договора, заключенного с трудящимся государства - члена ЕАЭС, в том числе дата его подписания и срок действия;</w:t>
      </w:r>
    </w:p>
    <w:p>
      <w:pPr>
        <w:pStyle w:val="0"/>
        <w:spacing w:before="240" w:lineRule="auto"/>
        <w:ind w:firstLine="540"/>
        <w:jc w:val="both"/>
      </w:pPr>
      <w:r>
        <w:rPr>
          <w:sz w:val="24"/>
        </w:rPr>
        <w:t xml:space="preserve">сведения о месте пребывания с указанием срока пребывания;</w:t>
      </w:r>
    </w:p>
    <w:p>
      <w:pPr>
        <w:pStyle w:val="0"/>
        <w:spacing w:before="240" w:lineRule="auto"/>
        <w:ind w:firstLine="540"/>
        <w:jc w:val="both"/>
      </w:pPr>
      <w:r>
        <w:rPr>
          <w:sz w:val="24"/>
        </w:rPr>
        <w:t xml:space="preserve">серию и номер документа, подтверждающего отнесение лица к категории членов коллегии Комиссии, должностных лиц и сотрудников органов ЕАЭС, находящихся на территории Российской Федерации;</w:t>
      </w:r>
    </w:p>
    <w:p>
      <w:pPr>
        <w:pStyle w:val="0"/>
        <w:spacing w:before="240" w:lineRule="auto"/>
        <w:ind w:firstLine="540"/>
        <w:jc w:val="both"/>
      </w:pPr>
      <w:r>
        <w:rPr>
          <w:sz w:val="24"/>
        </w:rPr>
        <w:t xml:space="preserve">категорию застрахованного лица в соответствии с положениями договора о ЕАЭС о праве отдельных категорий иностранных граждан государств - членов ЕАЭС на обязательное медицинское страхование;</w:t>
      </w:r>
    </w:p>
    <w:p>
      <w:pPr>
        <w:pStyle w:val="0"/>
        <w:spacing w:before="240" w:lineRule="auto"/>
        <w:ind w:firstLine="540"/>
        <w:jc w:val="both"/>
      </w:pPr>
      <w:r>
        <w:rPr>
          <w:sz w:val="24"/>
        </w:rPr>
        <w:t xml:space="preserve">контактную информацию в соответствии с </w:t>
      </w:r>
      <w:hyperlink w:history="0" w:anchor="P89" w:tooltip="7) контактные данные застрахованного лица (представителя, в том числе законного представителя), обязательные для заполнения в случае наличия согласия, предусмотренного подпунктом 6 пункта 6 настоящих Правил:">
        <w:r>
          <w:rPr>
            <w:sz w:val="24"/>
            <w:color w:val="0000ff"/>
          </w:rPr>
          <w:t xml:space="preserve">подпунктом 7 пункта 6</w:t>
        </w:r>
      </w:hyperlink>
      <w:r>
        <w:rPr>
          <w:sz w:val="24"/>
        </w:rPr>
        <w:t xml:space="preserve"> настоящих Правил.</w:t>
      </w:r>
    </w:p>
    <w:bookmarkStart w:id="184" w:name="P184"/>
    <w:bookmarkEnd w:id="184"/>
    <w:p>
      <w:pPr>
        <w:pStyle w:val="0"/>
        <w:spacing w:before="240" w:lineRule="auto"/>
        <w:ind w:firstLine="540"/>
        <w:jc w:val="both"/>
      </w:pPr>
      <w:r>
        <w:rPr>
          <w:sz w:val="24"/>
        </w:rPr>
        <w:t xml:space="preserve">20. Сведения, указанные в заявлении о выборе (замене) страховой медицинской организации и заявлении о включении в единый регистр застрахованных лиц, подаваемые иностранными гражданами, указанными в </w:t>
      </w:r>
      <w:hyperlink w:history="0" w:anchor="P166" w:tooltip="18. Временно пребывающие на территории Российской Федерации в соответствии с договором о Евразийском экономическом союзе, подписанным в г. Астане 29 мая 2014 г. &lt;8&gt; (далее соответственно - договор о ЕАЭС, ЕАЭС), трудящиеся иностранные граждане государств - членов ЕАЭС (далее - трудящийся государства - члена ЕАЭС), а также работающие на территории Российской Федерации члены Коллегии Евразийской экономической комиссии (далее - члены коллегии Комиссии), должностные лица (граждане государств - членов ЕАЭС, н...">
        <w:r>
          <w:rPr>
            <w:sz w:val="24"/>
            <w:color w:val="0000ff"/>
          </w:rPr>
          <w:t xml:space="preserve">пункте 18</w:t>
        </w:r>
      </w:hyperlink>
      <w:r>
        <w:rPr>
          <w:sz w:val="24"/>
        </w:rPr>
        <w:t xml:space="preserve"> настоящих Правил, подтверждаются предъявлением оригиналов следующих документов или их заверенных копий, необходимых для регистрации в качестве застрахованного лица:</w:t>
      </w:r>
    </w:p>
    <w:p>
      <w:pPr>
        <w:pStyle w:val="0"/>
        <w:spacing w:before="240" w:lineRule="auto"/>
        <w:ind w:firstLine="540"/>
        <w:jc w:val="both"/>
      </w:pPr>
      <w:r>
        <w:rPr>
          <w:sz w:val="24"/>
        </w:rPr>
        <w:t xml:space="preserve">1) для временно пребывающих в Российской Федерации трудящихся государств - членов ЕАЭС:</w:t>
      </w:r>
    </w:p>
    <w:p>
      <w:pPr>
        <w:pStyle w:val="0"/>
        <w:spacing w:before="240" w:lineRule="auto"/>
        <w:ind w:firstLine="540"/>
        <w:jc w:val="both"/>
      </w:pPr>
      <w:r>
        <w:rPr>
          <w:sz w:val="24"/>
        </w:rPr>
        <w:t xml:space="preserve">паспорт иностранного гражданина либо иной документ, установленный федеральным законом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w:t>
      </w:r>
    </w:p>
    <w:p>
      <w:pPr>
        <w:pStyle w:val="0"/>
        <w:spacing w:before="240" w:lineRule="auto"/>
        <w:ind w:firstLine="540"/>
        <w:jc w:val="both"/>
      </w:pPr>
      <w:r>
        <w:rPr>
          <w:sz w:val="24"/>
        </w:rPr>
        <w:t xml:space="preserve">СНИЛС;</w:t>
      </w:r>
    </w:p>
    <w:p>
      <w:pPr>
        <w:pStyle w:val="0"/>
        <w:spacing w:before="240" w:lineRule="auto"/>
        <w:ind w:firstLine="540"/>
        <w:jc w:val="both"/>
      </w:pPr>
      <w:r>
        <w:rPr>
          <w:sz w:val="24"/>
        </w:rPr>
        <w:t xml:space="preserve">трудовой договор трудящегося государства - члена ЕАЭС;</w:t>
      </w:r>
    </w:p>
    <w:p>
      <w:pPr>
        <w:pStyle w:val="0"/>
        <w:spacing w:before="240" w:lineRule="auto"/>
        <w:ind w:firstLine="540"/>
        <w:jc w:val="both"/>
      </w:pPr>
      <w:r>
        <w:rPr>
          <w:sz w:val="24"/>
        </w:rPr>
        <w:t xml:space="preserve">отрывная часть бланка уведомления о прибытии иностранного гражданина или лица без гражданства в место пребывания или ее копия с указанием места и срока пребывания &lt;9&gt;;</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&lt;9&gt; </w:t>
      </w:r>
      <w:hyperlink w:history="0" r:id="rId42" w:tooltip="Приказ МВД России от 10.12.2020 N 856 (ред. от 22.10.2024) &quot;Об утверждении Административного регламента Министерства внутренних дел Российской Федерации по предоставлению государственной услуги по осуществлению миграционного учета иностранных граждан и лиц без гражданства в Российской Федерации, форм заявления иностранного гражданина или лица без гражданства о регистрации по месту жительства, заявления о снятии иностранного гражданина или лица без гражданства с регистрации по месту жительства, уведомления о {КонсультантПлюс}">
        <w:r>
          <w:rPr>
            <w:sz w:val="24"/>
            <w:color w:val="0000ff"/>
          </w:rPr>
          <w:t xml:space="preserve">Приказ</w:t>
        </w:r>
      </w:hyperlink>
      <w:r>
        <w:rPr>
          <w:sz w:val="24"/>
        </w:rPr>
        <w:t xml:space="preserve"> Министерства внутренних дел Российской Федерации от 10 декабря 2020 г. N 856 "Об утверждении Административного регламента Министерства внутренних дел Российской Федерации по предоставлению государственной услуги по осуществлению миграционного учета иностранных граждан и лиц без гражданства в Российской Федерации, форм заявления иностранного гражданина или лица без гражданства о регистрации по месту жительства, заявления о снятии иностранного гражданина или лица без гражданства с регистрации по месту жительства, уведомления о прибытии иностранного гражданина или лица без гражданства в место пребывания, отметок о регистрации (снятии с регистрации) иностранного гражданина или лица без гражданства по месту жительства, отметок о подтверждении выполнения принимающей стороной и иностранным гражданином или лицом без гражданства действий, необходимых для его постановки на учет по месту пребывания, проставляемых, в том числе, многофункциональным центром предоставления государственных и муниципальных услуг" (зарегистрирован Министерством юстиции Российской Федерации 12 февраля 2021 г., регистрационный N 62483) с изменениями, внесенными приказами Министерства внутренних дел Российской Федерации от 16 ноября 2022 г. N 867 (зарегистрирован Министерством юстиции Российской Федерации 20 декабря 2022 г., регистрационный N 71683), от 22 октября 2024 г. N 628 (зарегистрирован Министерством юстиции Российской Федерации 24 декабря 2024 г., регистрационный N 80722).</w:t>
      </w:r>
    </w:p>
    <w:p>
      <w:pPr>
        <w:pStyle w:val="0"/>
        <w:jc w:val="both"/>
      </w:pPr>
      <w:r>
        <w:rPr>
          <w:sz w:val="24"/>
        </w:rPr>
      </w:r>
    </w:p>
    <w:p>
      <w:pPr>
        <w:pStyle w:val="0"/>
        <w:ind w:firstLine="540"/>
        <w:jc w:val="both"/>
      </w:pPr>
      <w:r>
        <w:rPr>
          <w:sz w:val="24"/>
        </w:rPr>
        <w:t xml:space="preserve">2) для членов коллегии Комиссии, должностных лиц и сотрудников органов ЕАЭС, находящихся на территории Российской Федерации:</w:t>
      </w:r>
    </w:p>
    <w:p>
      <w:pPr>
        <w:pStyle w:val="0"/>
        <w:spacing w:before="240" w:lineRule="auto"/>
        <w:ind w:firstLine="540"/>
        <w:jc w:val="both"/>
      </w:pPr>
      <w:r>
        <w:rPr>
          <w:sz w:val="24"/>
        </w:rPr>
        <w:t xml:space="preserve">паспорт иностранного гражданина либо иной документ, установленный федеральным законом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w:t>
      </w:r>
    </w:p>
    <w:p>
      <w:pPr>
        <w:pStyle w:val="0"/>
        <w:spacing w:before="240" w:lineRule="auto"/>
        <w:ind w:firstLine="540"/>
        <w:jc w:val="both"/>
      </w:pPr>
      <w:r>
        <w:rPr>
          <w:sz w:val="24"/>
        </w:rPr>
        <w:t xml:space="preserve">СНИЛС;</w:t>
      </w:r>
    </w:p>
    <w:p>
      <w:pPr>
        <w:pStyle w:val="0"/>
        <w:spacing w:before="240" w:lineRule="auto"/>
        <w:ind w:firstLine="540"/>
        <w:jc w:val="both"/>
      </w:pPr>
      <w:r>
        <w:rPr>
          <w:sz w:val="24"/>
        </w:rPr>
        <w:t xml:space="preserve">документ, подтверждающий отнесение лица к категории членов коллегии Комиссии, должностных лиц, сотрудников органов ЕАЭС.</w:t>
      </w:r>
    </w:p>
    <w:bookmarkStart w:id="197" w:name="P197"/>
    <w:bookmarkEnd w:id="197"/>
    <w:p>
      <w:pPr>
        <w:pStyle w:val="0"/>
        <w:spacing w:before="240" w:lineRule="auto"/>
        <w:ind w:firstLine="540"/>
        <w:jc w:val="both"/>
      </w:pPr>
      <w:r>
        <w:rPr>
          <w:sz w:val="24"/>
        </w:rPr>
        <w:t xml:space="preserve">21. Временно пребывающие и осуществляющие трудовую деятельность на территории Российской Федерации иностранные граждане, лица без гражданства (за исключением высококвалифицированных специалистов, а также иностранных граждан, осуществляющих в Российской Федерации трудовую деятельность в соответствии со </w:t>
      </w:r>
      <w:hyperlink w:history="0" r:id="rId43" w:tooltip="Федеральный закон от 25.07.2002 N 115-ФЗ (ред. от 26.06.2026) &quot;О правовом положении иностранных граждан в Российской Федерации&quot; {КонсультантПлюс}">
        <w:r>
          <w:rPr>
            <w:sz w:val="24"/>
            <w:color w:val="0000ff"/>
          </w:rPr>
          <w:t xml:space="preserve">статьей 13.5</w:t>
        </w:r>
      </w:hyperlink>
      <w:r>
        <w:rPr>
          <w:sz w:val="24"/>
        </w:rPr>
        <w:t xml:space="preserve"> Федерального закона N 115-ФЗ), имеют право на включение в единый регистр застрахованных лиц в случае уплаты за них страхователями страховых взносов на обязательное медицинское страхование непрерывно в течение последних трех лет при условии подтверждения их статуса работающего в соответствии с </w:t>
      </w:r>
      <w:hyperlink w:history="0" r:id="rId44" w:tooltip="Федеральный закон от 29.11.2010 N 326-ФЗ (ред. от 20.02.2026) &quot;Об обязательном медицинском страховании в Российской Федерации&quot; {КонсультантПлюс}">
        <w:r>
          <w:rPr>
            <w:sz w:val="24"/>
            <w:color w:val="0000ff"/>
          </w:rPr>
          <w:t xml:space="preserve">частью 2.1 статьи 49</w:t>
        </w:r>
      </w:hyperlink>
      <w:r>
        <w:rPr>
          <w:sz w:val="24"/>
        </w:rPr>
        <w:t xml:space="preserve"> Федерального закона.</w:t>
      </w:r>
    </w:p>
    <w:bookmarkStart w:id="198" w:name="P198"/>
    <w:bookmarkEnd w:id="198"/>
    <w:p>
      <w:pPr>
        <w:pStyle w:val="0"/>
        <w:spacing w:before="240" w:lineRule="auto"/>
        <w:ind w:firstLine="540"/>
        <w:jc w:val="both"/>
      </w:pPr>
      <w:r>
        <w:rPr>
          <w:sz w:val="24"/>
        </w:rPr>
        <w:t xml:space="preserve">22. Определение трехлетнего периода уплаты страховых взносов за лицо, указанное в </w:t>
      </w:r>
      <w:hyperlink w:history="0" w:anchor="P197" w:tooltip="21. Временно пребывающие и осуществляющие трудовую деятельность на территории Российской Федерации иностранные граждане, лица без гражданства (за исключением высококвалифицированных специалистов, а также иностранных граждан, осуществляющих в Российской Федерации трудовую деятельность в соответствии со статьей 13.5 Федерального закона N 115-ФЗ), имеют право на включение в единый регистр застрахованных лиц в случае уплаты за них страхователями страховых взносов на обязательное медицинское страхование непре...">
        <w:r>
          <w:rPr>
            <w:sz w:val="24"/>
            <w:color w:val="0000ff"/>
          </w:rPr>
          <w:t xml:space="preserve">пункте 21</w:t>
        </w:r>
      </w:hyperlink>
      <w:r>
        <w:rPr>
          <w:sz w:val="24"/>
        </w:rPr>
        <w:t xml:space="preserve"> настоящих Правил, осуществляется в соответствии со сроками предоставления сведений о работающих застрахованных лицах, предусмотренных </w:t>
      </w:r>
      <w:hyperlink w:history="0" r:id="rId45" w:tooltip="Федеральный закон от 29.11.2010 N 326-ФЗ (ред. от 20.02.2026) &quot;Об обязательном медицинском страховании в Российской Федерации&quot; {КонсультантПлюс}">
        <w:r>
          <w:rPr>
            <w:sz w:val="24"/>
            <w:color w:val="0000ff"/>
          </w:rPr>
          <w:t xml:space="preserve">частью 2 статьи 49</w:t>
        </w:r>
      </w:hyperlink>
      <w:r>
        <w:rPr>
          <w:sz w:val="24"/>
        </w:rPr>
        <w:t xml:space="preserve"> Федерального закона в следующем порядке:</w:t>
      </w:r>
    </w:p>
    <w:p>
      <w:pPr>
        <w:pStyle w:val="0"/>
        <w:spacing w:before="240" w:lineRule="auto"/>
        <w:ind w:firstLine="540"/>
        <w:jc w:val="both"/>
      </w:pPr>
      <w:r>
        <w:rPr>
          <w:sz w:val="24"/>
        </w:rPr>
        <w:t xml:space="preserve">1) факт непрерывности подтверждается наличием данных о статусе работающего в сведениях Федеральной налоговой службы по каждому отчетному периоду (кварталу), представленные за три года, предшествующие дню обращения за полисом;</w:t>
      </w:r>
    </w:p>
    <w:p>
      <w:pPr>
        <w:pStyle w:val="0"/>
        <w:spacing w:before="240" w:lineRule="auto"/>
        <w:ind w:firstLine="540"/>
        <w:jc w:val="both"/>
      </w:pPr>
      <w:r>
        <w:rPr>
          <w:sz w:val="24"/>
        </w:rPr>
        <w:t xml:space="preserve">2) при расчете предшествующего периода учитываются сроки получения ежеквартальных отчетных данных от Федеральной налоговой службы в соответствии с </w:t>
      </w:r>
      <w:hyperlink w:history="0" r:id="rId46" w:tooltip="Федеральный закон от 29.11.2010 N 326-ФЗ (ред. от 20.02.2026) &quot;Об обязательном медицинском страховании в Российской Федерации&quot; {КонсультантПлюс}">
        <w:r>
          <w:rPr>
            <w:sz w:val="24"/>
            <w:color w:val="0000ff"/>
          </w:rPr>
          <w:t xml:space="preserve">частью 2 статьи 49</w:t>
        </w:r>
      </w:hyperlink>
      <w:r>
        <w:rPr>
          <w:sz w:val="24"/>
        </w:rPr>
        <w:t xml:space="preserve"> Федерального закона, которые предоставляются Федеральному фонду не позднее 15 числа второго месяца, следующего за отчетным.</w:t>
      </w:r>
    </w:p>
    <w:p>
      <w:pPr>
        <w:pStyle w:val="0"/>
        <w:spacing w:before="240" w:lineRule="auto"/>
        <w:ind w:firstLine="540"/>
        <w:jc w:val="both"/>
      </w:pPr>
      <w:r>
        <w:rPr>
          <w:sz w:val="24"/>
        </w:rPr>
        <w:t xml:space="preserve">23. Лица, указанные в </w:t>
      </w:r>
      <w:hyperlink w:history="0" w:anchor="P197" w:tooltip="21. Временно пребывающие и осуществляющие трудовую деятельность на территории Российской Федерации иностранные граждане, лица без гражданства (за исключением высококвалифицированных специалистов, а также иностранных граждан, осуществляющих в Российской Федерации трудовую деятельность в соответствии со статьей 13.5 Федерального закона N 115-ФЗ), имеют право на включение в единый регистр застрахованных лиц в случае уплаты за них страхователями страховых взносов на обязательное медицинское страхование непре...">
        <w:r>
          <w:rPr>
            <w:sz w:val="24"/>
            <w:color w:val="0000ff"/>
          </w:rPr>
          <w:t xml:space="preserve">пункте 21</w:t>
        </w:r>
      </w:hyperlink>
      <w:r>
        <w:rPr>
          <w:sz w:val="24"/>
        </w:rPr>
        <w:t xml:space="preserve"> настоящих Правил, в случае наличия в соответствии с </w:t>
      </w:r>
      <w:hyperlink w:history="0" w:anchor="P198" w:tooltip="22. Определение трехлетнего периода уплаты страховых взносов за лицо, указанное в пункте 21 настоящих Правил, осуществляется в соответствии со сроками предоставления сведений о работающих застрахованных лицах, предусмотренных частью 2 статьи 49 Федерального закона в следующем порядке:">
        <w:r>
          <w:rPr>
            <w:sz w:val="24"/>
            <w:color w:val="0000ff"/>
          </w:rPr>
          <w:t xml:space="preserve">пунктом 22</w:t>
        </w:r>
      </w:hyperlink>
      <w:r>
        <w:rPr>
          <w:sz w:val="24"/>
        </w:rPr>
        <w:t xml:space="preserve"> настоящих Правил подтвержденного трехлетнего периода уплаты страховых взносов и одновременном подтверждении его статуса работающего в соответствии с </w:t>
      </w:r>
      <w:hyperlink w:history="0" r:id="rId47" w:tooltip="Федеральный закон от 29.11.2010 N 326-ФЗ (ред. от 20.02.2026) &quot;Об обязательном медицинском страховании в Российской Федерации&quot; {КонсультантПлюс}">
        <w:r>
          <w:rPr>
            <w:sz w:val="24"/>
            <w:color w:val="0000ff"/>
          </w:rPr>
          <w:t xml:space="preserve">частью 2.1 статьи 49</w:t>
        </w:r>
      </w:hyperlink>
      <w:r>
        <w:rPr>
          <w:sz w:val="24"/>
        </w:rPr>
        <w:t xml:space="preserve"> Федерального закона подают заявления о включении в единый регистр застрахованных лиц и заявление о выборе (замене) страховой медицинской организации лично на бумажном носителе в страховую медицинскую организацию.</w:t>
      </w:r>
    </w:p>
    <w:bookmarkStart w:id="202" w:name="P202"/>
    <w:bookmarkEnd w:id="202"/>
    <w:p>
      <w:pPr>
        <w:pStyle w:val="0"/>
        <w:spacing w:before="240" w:lineRule="auto"/>
        <w:ind w:firstLine="540"/>
        <w:jc w:val="both"/>
      </w:pPr>
      <w:r>
        <w:rPr>
          <w:sz w:val="24"/>
        </w:rPr>
        <w:t xml:space="preserve">24. Сведения, указанные в заявлении о выборе (замене) страховой медицинской организации и заявлении о включении в единый регистр застрахованных лиц, подаваемые указанными в </w:t>
      </w:r>
      <w:hyperlink w:history="0" w:anchor="P197" w:tooltip="21. Временно пребывающие и осуществляющие трудовую деятельность на территории Российской Федерации иностранные граждане, лица без гражданства (за исключением высококвалифицированных специалистов, а также иностранных граждан, осуществляющих в Российской Федерации трудовую деятельность в соответствии со статьей 13.5 Федерального закона N 115-ФЗ), имеют право на включение в единый регистр застрахованных лиц в случае уплаты за них страхователями страховых взносов на обязательное медицинское страхование непре...">
        <w:r>
          <w:rPr>
            <w:sz w:val="24"/>
            <w:color w:val="0000ff"/>
          </w:rPr>
          <w:t xml:space="preserve">пункте 21</w:t>
        </w:r>
      </w:hyperlink>
      <w:r>
        <w:rPr>
          <w:sz w:val="24"/>
        </w:rPr>
        <w:t xml:space="preserve"> настоящих Правил иностранными гражданами, подтверждаются предъявлением оригиналов следующих документов или их заверенных копий, необходимых для регистрации в качестве застрахованного лица:</w:t>
      </w:r>
    </w:p>
    <w:p>
      <w:pPr>
        <w:pStyle w:val="0"/>
        <w:spacing w:before="240" w:lineRule="auto"/>
        <w:ind w:firstLine="540"/>
        <w:jc w:val="both"/>
      </w:pPr>
      <w:r>
        <w:rPr>
          <w:sz w:val="24"/>
        </w:rPr>
        <w:t xml:space="preserve">паспорт иностранного гражданина либо иной документ, установленный федеральным законом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w:t>
      </w:r>
    </w:p>
    <w:p>
      <w:pPr>
        <w:pStyle w:val="0"/>
        <w:spacing w:before="240" w:lineRule="auto"/>
        <w:ind w:firstLine="540"/>
        <w:jc w:val="both"/>
      </w:pPr>
      <w:r>
        <w:rPr>
          <w:sz w:val="24"/>
        </w:rPr>
        <w:t xml:space="preserve">СНИЛС;</w:t>
      </w:r>
    </w:p>
    <w:p>
      <w:pPr>
        <w:pStyle w:val="0"/>
        <w:spacing w:before="240" w:lineRule="auto"/>
        <w:ind w:firstLine="540"/>
        <w:jc w:val="both"/>
      </w:pPr>
      <w:r>
        <w:rPr>
          <w:sz w:val="24"/>
        </w:rPr>
        <w:t xml:space="preserve">трудовой договор.</w:t>
      </w:r>
    </w:p>
    <w:p>
      <w:pPr>
        <w:pStyle w:val="0"/>
        <w:spacing w:before="240" w:lineRule="auto"/>
        <w:ind w:firstLine="540"/>
        <w:jc w:val="both"/>
      </w:pPr>
      <w:r>
        <w:rPr>
          <w:sz w:val="24"/>
        </w:rPr>
        <w:t xml:space="preserve">25. Факт осуществления трудовой деятельности указанных в </w:t>
      </w:r>
      <w:hyperlink w:history="0" w:anchor="P166" w:tooltip="18. Временно пребывающие на территории Российской Федерации в соответствии с договором о Евразийском экономическом союзе, подписанным в г. Астане 29 мая 2014 г. &lt;8&gt; (далее соответственно - договор о ЕАЭС, ЕАЭС), трудящиеся иностранные граждане государств - членов ЕАЭС (далее - трудящийся государства - члена ЕАЭС), а также работающие на территории Российской Федерации члены Коллегии Евразийской экономической комиссии (далее - члены коллегии Комиссии), должностные лица (граждане государств - членов ЕАЭС, н...">
        <w:r>
          <w:rPr>
            <w:sz w:val="24"/>
            <w:color w:val="0000ff"/>
          </w:rPr>
          <w:t xml:space="preserve">пунктах 18</w:t>
        </w:r>
      </w:hyperlink>
      <w:r>
        <w:rPr>
          <w:sz w:val="24"/>
        </w:rPr>
        <w:t xml:space="preserve"> и </w:t>
      </w:r>
      <w:hyperlink w:history="0" w:anchor="P197" w:tooltip="21. Временно пребывающие и осуществляющие трудовую деятельность на территории Российской Федерации иностранные граждане, лица без гражданства (за исключением высококвалифицированных специалистов, а также иностранных граждан, осуществляющих в Российской Федерации трудовую деятельность в соответствии со статьей 13.5 Федерального закона N 115-ФЗ), имеют право на включение в единый регистр застрахованных лиц в случае уплаты за них страхователями страховых взносов на обязательное медицинское страхование непре...">
        <w:r>
          <w:rPr>
            <w:sz w:val="24"/>
            <w:color w:val="0000ff"/>
          </w:rPr>
          <w:t xml:space="preserve">21</w:t>
        </w:r>
      </w:hyperlink>
      <w:r>
        <w:rPr>
          <w:sz w:val="24"/>
        </w:rPr>
        <w:t xml:space="preserve"> настоящих Правил лиц должен быть также подтвержден сведениями, предоставляемыми Федеральному фонду в соответствии с </w:t>
      </w:r>
      <w:hyperlink w:history="0" r:id="rId48" w:tooltip="Федеральный закон от 29.11.2010 N 326-ФЗ (ред. от 20.02.2026) &quot;Об обязательном медицинском страховании в Российской Федерации&quot; {КонсультантПлюс}">
        <w:r>
          <w:rPr>
            <w:sz w:val="24"/>
            <w:color w:val="0000ff"/>
          </w:rPr>
          <w:t xml:space="preserve">частью 2.1 статьи 49</w:t>
        </w:r>
      </w:hyperlink>
      <w:r>
        <w:rPr>
          <w:sz w:val="24"/>
        </w:rPr>
        <w:t xml:space="preserve"> Федерального закона. Доступ страховых медицинских организаций к указанным сведениям осуществляется в соответствии с порядком информационного взаимодействия в сфере обязательного медицинского страхования, утвержденным в соответствии со </w:t>
      </w:r>
      <w:hyperlink w:history="0" r:id="rId49" w:tooltip="Федеральный закон от 29.11.2010 N 326-ФЗ (ред. от 20.02.2026) &quot;Об обязательном медицинском страховании в Российской Федерации&quot; {КонсультантПлюс}">
        <w:r>
          <w:rPr>
            <w:sz w:val="24"/>
            <w:color w:val="0000ff"/>
          </w:rPr>
          <w:t xml:space="preserve">статьей 33</w:t>
        </w:r>
      </w:hyperlink>
      <w:r>
        <w:rPr>
          <w:sz w:val="24"/>
        </w:rPr>
        <w:t xml:space="preserve"> Федерального закона (далее - порядок информационного взаимодействия).</w:t>
      </w:r>
    </w:p>
    <w:p>
      <w:pPr>
        <w:pStyle w:val="0"/>
        <w:spacing w:before="240" w:lineRule="auto"/>
        <w:ind w:firstLine="540"/>
        <w:jc w:val="both"/>
      </w:pPr>
      <w:r>
        <w:rPr>
          <w:sz w:val="24"/>
        </w:rPr>
        <w:t xml:space="preserve">26. На основании заявления о выборе (замене) страховой медицинской организации и заявления о включении в единый регистр застрахованных лиц, а также при предъявлении документов, указанных в </w:t>
      </w:r>
      <w:hyperlink w:history="0" w:anchor="P111" w:tooltip="16. Сведения, указанные в заявлении о выборе (замене) страховой медицинской организации и заявлении о включении в единый регистр застрахованных лиц, подаваемые на бумажном носителе, подтверждаются предъявлением оригиналов следующих документов, необходимых для регистрации в качестве застрахованного лица, или их заверенных копий &lt;5&gt;:">
        <w:r>
          <w:rPr>
            <w:sz w:val="24"/>
            <w:color w:val="0000ff"/>
          </w:rPr>
          <w:t xml:space="preserve">пунктах 16</w:t>
        </w:r>
      </w:hyperlink>
      <w:r>
        <w:rPr>
          <w:sz w:val="24"/>
        </w:rPr>
        <w:t xml:space="preserve">, </w:t>
      </w:r>
      <w:hyperlink w:history="0" w:anchor="P152" w:tooltip="17. В случае подачи застрахованным лицом или его законным представителем заявления о включении в единый регистр застрахованных лиц и/или заявления о выборе (замене) страховой медицинской организации в форме электронного документа представляются следующие верифицированные сведения из документов застрахованного лица:">
        <w:r>
          <w:rPr>
            <w:sz w:val="24"/>
            <w:color w:val="0000ff"/>
          </w:rPr>
          <w:t xml:space="preserve">17</w:t>
        </w:r>
      </w:hyperlink>
      <w:r>
        <w:rPr>
          <w:sz w:val="24"/>
        </w:rPr>
        <w:t xml:space="preserve">, </w:t>
      </w:r>
      <w:hyperlink w:history="0" w:anchor="P184" w:tooltip="20. Сведения, указанные в заявлении о выборе (замене) страховой медицинской организации и заявлении о включении в единый регистр застрахованных лиц, подаваемые иностранными гражданами, указанными в пункте 18 настоящих Правил, подтверждаются предъявлением оригиналов следующих документов или их заверенных копий, необходимых для регистрации в качестве застрахованного лица:">
        <w:r>
          <w:rPr>
            <w:sz w:val="24"/>
            <w:color w:val="0000ff"/>
          </w:rPr>
          <w:t xml:space="preserve">20</w:t>
        </w:r>
      </w:hyperlink>
      <w:r>
        <w:rPr>
          <w:sz w:val="24"/>
        </w:rPr>
        <w:t xml:space="preserve">, </w:t>
      </w:r>
      <w:hyperlink w:history="0" w:anchor="P202" w:tooltip="24. Сведения, указанные в заявлении о выборе (замене) страховой медицинской организации и заявлении о включении в единый регистр застрахованных лиц, подаваемые указанными в пункте 21 настоящих Правил иностранными гражданами, подтверждаются предъявлением оригиналов следующих документов или их заверенных копий, необходимых для регистрации в качестве застрахованного лица:">
        <w:r>
          <w:rPr>
            <w:sz w:val="24"/>
            <w:color w:val="0000ff"/>
          </w:rPr>
          <w:t xml:space="preserve">24</w:t>
        </w:r>
      </w:hyperlink>
      <w:r>
        <w:rPr>
          <w:sz w:val="24"/>
        </w:rPr>
        <w:t xml:space="preserve"> настоящих Правил, страховая медицинская организация обеспечивает внесение сведений, указанных в заявлении о выборе (замене) страховой медицинской организации и заявлении о включении в единый регистр застрахованных лиц, в единый регистр застрахованных лиц и предоставляет по запросу застрахованного лица выписку из единого регистра застрахованных лиц, содержащую сведения о полисе в соответствии с </w:t>
      </w:r>
      <w:hyperlink w:history="0" w:anchor="P222" w:tooltip="35. Полис представляет собой уникальную последовательность символов в машиночитаемом виде, которая присваивается сведениям о застрахованном лице в едином регистре застрахованных лиц при ведении персонифицированного учета сведений о застрахованных лицах &lt;10&gt;.">
        <w:r>
          <w:rPr>
            <w:sz w:val="24"/>
            <w:color w:val="0000ff"/>
          </w:rPr>
          <w:t xml:space="preserve">пунктом 35</w:t>
        </w:r>
      </w:hyperlink>
      <w:r>
        <w:rPr>
          <w:sz w:val="24"/>
        </w:rPr>
        <w:t xml:space="preserve"> настоящих Правил.</w:t>
      </w:r>
    </w:p>
    <w:p>
      <w:pPr>
        <w:pStyle w:val="0"/>
        <w:spacing w:before="240" w:lineRule="auto"/>
        <w:ind w:firstLine="540"/>
        <w:jc w:val="both"/>
      </w:pPr>
      <w:r>
        <w:rPr>
          <w:sz w:val="24"/>
        </w:rPr>
        <w:t xml:space="preserve">27. Замену страховой медицинской организации, в которой ранее был застрахован гражданин, застрахованное лицо в соответствии с </w:t>
      </w:r>
      <w:hyperlink w:history="0" r:id="rId50" w:tooltip="Федеральный закон от 29.11.2010 N 326-ФЗ (ред. от 20.02.2026) &quot;Об обязательном медицинском страховании в Российской Федерации&quot; {КонсультантПлюс}">
        <w:r>
          <w:rPr>
            <w:sz w:val="24"/>
            <w:color w:val="0000ff"/>
          </w:rPr>
          <w:t xml:space="preserve">пунктом 3 части 1 статьи 16</w:t>
        </w:r>
      </w:hyperlink>
      <w:r>
        <w:rPr>
          <w:sz w:val="24"/>
        </w:rPr>
        <w:t xml:space="preserve"> Федерального закона вправе осуществлять один раз в течение календарного года не позднее 1 ноября либо чаще в случае изменения места жительства (за исключением случаев переезда на новое место жительства в пределах одного субъекта Российской Федерации) или прекращения действия договора о финансовом обеспечении обязательного медицинского страхования (далее - договор о финансовом обеспечении) путем подачи заявления о выборе (замене) страховой медицинской организации во вновь выбранную страховую медицинскую организацию.</w:t>
      </w:r>
    </w:p>
    <w:p>
      <w:pPr>
        <w:pStyle w:val="0"/>
        <w:spacing w:before="240" w:lineRule="auto"/>
        <w:ind w:firstLine="540"/>
        <w:jc w:val="both"/>
      </w:pPr>
      <w:r>
        <w:rPr>
          <w:sz w:val="24"/>
        </w:rPr>
        <w:t xml:space="preserve">28. Если застрахованным лицом не было подано заявление о выборе страховой медицинской организации, такое лицо считается застрахованным в страховой медицинской организации, определенной территориальным фондом в порядке, предусмотренном </w:t>
      </w:r>
      <w:hyperlink w:history="0" r:id="rId51" w:tooltip="Федеральный закон от 29.11.2010 N 326-ФЗ (ред. от 20.02.2026) &quot;Об обязательном медицинском страховании в Российской Федерации&quot; {КонсультантПлюс}">
        <w:r>
          <w:rPr>
            <w:sz w:val="24"/>
            <w:color w:val="0000ff"/>
          </w:rPr>
          <w:t xml:space="preserve">частью 6 статьи 16</w:t>
        </w:r>
      </w:hyperlink>
      <w:r>
        <w:rPr>
          <w:sz w:val="24"/>
        </w:rPr>
        <w:t xml:space="preserve"> Федерального закона. Если застрахованным лицом не было подано заявление о замене страховой медицинской организации, такое лицо считается застрахованным той страховой медицинской организацией, которой оно было застраховано ранее.</w:t>
      </w:r>
    </w:p>
    <w:p>
      <w:pPr>
        <w:pStyle w:val="0"/>
        <w:spacing w:before="240" w:lineRule="auto"/>
        <w:ind w:firstLine="540"/>
        <w:jc w:val="both"/>
      </w:pPr>
      <w:r>
        <w:rPr>
          <w:sz w:val="24"/>
        </w:rPr>
        <w:t xml:space="preserve">29. В случае изменения места жительства застрахованного лица и отсутствия по новому месту жительства застрахованного лица страховой медицинской организации, в которой ранее был застрахован гражданин, или прекращения действия договора о финансовом обеспечении со страховой медицинской организацией лицо, не подавшее заявление о замене страховой медицинской организации, считается застрахованным в страховой медицинской организации, определенной территориальным фондом в порядке, предусмотренном </w:t>
      </w:r>
      <w:hyperlink w:history="0" r:id="rId52" w:tooltip="Федеральный закон от 29.11.2010 N 326-ФЗ (ред. от 20.02.2026) &quot;Об обязательном медицинском страховании в Российской Федерации&quot; {КонсультантПлюс}">
        <w:r>
          <w:rPr>
            <w:sz w:val="24"/>
            <w:color w:val="0000ff"/>
          </w:rPr>
          <w:t xml:space="preserve">частью 6 статьи 16</w:t>
        </w:r>
      </w:hyperlink>
      <w:r>
        <w:rPr>
          <w:sz w:val="24"/>
        </w:rPr>
        <w:t xml:space="preserve"> Федерального закона.</w:t>
      </w:r>
    </w:p>
    <w:p>
      <w:pPr>
        <w:pStyle w:val="0"/>
        <w:spacing w:before="240" w:lineRule="auto"/>
        <w:ind w:firstLine="540"/>
        <w:jc w:val="both"/>
      </w:pPr>
      <w:r>
        <w:rPr>
          <w:sz w:val="24"/>
        </w:rPr>
        <w:t xml:space="preserve">30. При досрочном расторжении договора о финансовом обеспечении по инициативе страховой медицинской организации за три месяца до даты расторжения указанного договора страховая медицинская организация в соответствии с </w:t>
      </w:r>
      <w:hyperlink w:history="0" r:id="rId53" w:tooltip="Федеральный закон от 29.11.2010 N 326-ФЗ (ред. от 20.02.2026) &quot;Об обязательном медицинском страховании в Российской Федерации&quot; {КонсультантПлюс}">
        <w:r>
          <w:rPr>
            <w:sz w:val="24"/>
            <w:color w:val="0000ff"/>
          </w:rPr>
          <w:t xml:space="preserve">частью 15 статьи 38</w:t>
        </w:r>
      </w:hyperlink>
      <w:r>
        <w:rPr>
          <w:sz w:val="24"/>
        </w:rPr>
        <w:t xml:space="preserve"> Федерального закона обязана уведомить территориальный фонд и застрахованных лиц о намерении расторгнуть договор о финансовом обеспечении.</w:t>
      </w:r>
    </w:p>
    <w:p>
      <w:pPr>
        <w:pStyle w:val="0"/>
        <w:spacing w:before="240" w:lineRule="auto"/>
        <w:ind w:firstLine="540"/>
        <w:jc w:val="both"/>
      </w:pPr>
      <w:r>
        <w:rPr>
          <w:sz w:val="24"/>
        </w:rPr>
        <w:t xml:space="preserve">31. После прекращения действия договора о финансовом обеспечении в соответствии с </w:t>
      </w:r>
      <w:hyperlink w:history="0" r:id="rId54" w:tooltip="Федеральный закон от 29.11.2010 N 326-ФЗ (ред. от 20.02.2026) &quot;Об обязательном медицинском страховании в Российской Федерации&quot; {КонсультантПлюс}">
        <w:r>
          <w:rPr>
            <w:sz w:val="24"/>
            <w:color w:val="0000ff"/>
          </w:rPr>
          <w:t xml:space="preserve">частью 17 статьи 38</w:t>
        </w:r>
      </w:hyperlink>
      <w:r>
        <w:rPr>
          <w:sz w:val="24"/>
        </w:rPr>
        <w:t xml:space="preserve"> Федерального закона и на период до выбора застрахованными лицами другой страховой медицинской организации территориальный фонд направляет сведения об указанных застрахованных лицах в страховые медицинские организации, осуществляющие деятельность в сфере обязательного медицинского страхования в субъекте Российской Федерации, в порядке, установленном </w:t>
      </w:r>
      <w:hyperlink w:history="0" r:id="rId55" w:tooltip="Федеральный закон от 29.11.2010 N 326-ФЗ (ред. от 20.02.2026) &quot;Об обязательном медицинском страховании в Российской Федерации&quot; {КонсультантПлюс}">
        <w:r>
          <w:rPr>
            <w:sz w:val="24"/>
            <w:color w:val="0000ff"/>
          </w:rPr>
          <w:t xml:space="preserve">частью 6 статьи 16</w:t>
        </w:r>
      </w:hyperlink>
      <w:r>
        <w:rPr>
          <w:sz w:val="24"/>
        </w:rPr>
        <w:t xml:space="preserve"> Федерального закона. При этом у застрахованного лица сохраняется право выбора страховой медицинской организации.</w:t>
      </w:r>
    </w:p>
    <w:p>
      <w:pPr>
        <w:pStyle w:val="0"/>
        <w:spacing w:before="240" w:lineRule="auto"/>
        <w:ind w:firstLine="540"/>
        <w:jc w:val="both"/>
      </w:pPr>
      <w:r>
        <w:rPr>
          <w:sz w:val="24"/>
        </w:rPr>
        <w:t xml:space="preserve">32. Сведения о гражданах, не обратившихся в страховую медицинскую организацию с заявлением о выборе страховой медицинской организации, а также не осуществивших замену страховой медицинской организации, ежемесячно до 10-го числа направляются территориальным фондом в страховые медицинские организации, осуществляющие деятельность в сфере обязательного медицинского страхования в субъекте Российской Федерации, пропорционально числу застрахованных лиц в каждой из них. Соотношение работающих граждан и неработающих граждан, не обратившихся в страховую медицинскую организацию, а также не осуществивших замену страховой медицинской организации должно быть равным.</w:t>
      </w:r>
    </w:p>
    <w:bookmarkStart w:id="214" w:name="P214"/>
    <w:bookmarkEnd w:id="214"/>
    <w:p>
      <w:pPr>
        <w:pStyle w:val="0"/>
        <w:spacing w:before="240" w:lineRule="auto"/>
        <w:ind w:firstLine="540"/>
        <w:jc w:val="both"/>
      </w:pPr>
      <w:r>
        <w:rPr>
          <w:sz w:val="24"/>
        </w:rPr>
        <w:t xml:space="preserve">33. В соответствии с </w:t>
      </w:r>
      <w:hyperlink w:history="0" r:id="rId56" w:tooltip="Федеральный закон от 29.11.2010 N 326-ФЗ (ред. от 20.02.2026) &quot;Об обязательном медицинском страховании в Российской Федерации&quot; {КонсультантПлюс}">
        <w:r>
          <w:rPr>
            <w:sz w:val="24"/>
            <w:color w:val="0000ff"/>
          </w:rPr>
          <w:t xml:space="preserve">частью 3 статьи 49.1</w:t>
        </w:r>
      </w:hyperlink>
      <w:r>
        <w:rPr>
          <w:sz w:val="24"/>
        </w:rPr>
        <w:t xml:space="preserve"> Федерального закона граждане Российской Федерации, указанные в </w:t>
      </w:r>
      <w:hyperlink w:history="0" r:id="rId57" w:tooltip="Федеральный закон от 29.11.2010 N 326-ФЗ (ред. от 20.02.2026) &quot;Об обязательном медицинском страховании в Российской Федерации&quot; {КонсультантПлюс}">
        <w:r>
          <w:rPr>
            <w:sz w:val="24"/>
            <w:color w:val="0000ff"/>
          </w:rPr>
          <w:t xml:space="preserve">части 1 статьи 49.1</w:t>
        </w:r>
      </w:hyperlink>
      <w:r>
        <w:rPr>
          <w:sz w:val="24"/>
        </w:rPr>
        <w:t xml:space="preserve"> Федерального закона (за исключением проходящих военную службу по призыву), обязаны сдать полис на материальном носителе (при наличии) или сообщить о его утрате путем подачи заявления о сдаче (утрате) полиса на материальном носителе или заявления о приостановлении действия полиса одним из способов, выбранным застрахованным лицом:</w:t>
      </w:r>
    </w:p>
    <w:p>
      <w:pPr>
        <w:pStyle w:val="0"/>
        <w:spacing w:before="240" w:lineRule="auto"/>
        <w:ind w:firstLine="540"/>
        <w:jc w:val="both"/>
      </w:pPr>
      <w:r>
        <w:rPr>
          <w:sz w:val="24"/>
        </w:rPr>
        <w:t xml:space="preserve">посредством обращения в любую страховую медицинскую организацию или любой территориальный фонд лично или через представителя;</w:t>
      </w:r>
    </w:p>
    <w:p>
      <w:pPr>
        <w:pStyle w:val="0"/>
        <w:spacing w:before="240" w:lineRule="auto"/>
        <w:ind w:firstLine="540"/>
        <w:jc w:val="both"/>
      </w:pPr>
      <w:r>
        <w:rPr>
          <w:sz w:val="24"/>
        </w:rPr>
        <w:t xml:space="preserve">посредством Единого портала государственных и муниципальных услуг (функций).</w:t>
      </w:r>
    </w:p>
    <w:p>
      <w:pPr>
        <w:pStyle w:val="0"/>
        <w:spacing w:before="240" w:lineRule="auto"/>
        <w:ind w:firstLine="540"/>
        <w:jc w:val="both"/>
      </w:pPr>
      <w:r>
        <w:rPr>
          <w:sz w:val="24"/>
        </w:rPr>
        <w:t xml:space="preserve">34. Бланк заявления о сдаче (утрате) полиса на материальном носителе и бланк заявления о приостановлении действия полиса размещаются в соответствии с форматами информационного взаимодействия в сфере обязательного медицинского страхования, которые опубликовываются на официальном сайте Федерального фонда в информационно-телекоммуникационной сети "Интернет".</w:t>
      </w:r>
    </w:p>
    <w:p>
      <w:pPr>
        <w:pStyle w:val="0"/>
        <w:jc w:val="both"/>
      </w:pPr>
      <w:r>
        <w:rPr>
          <w:sz w:val="24"/>
        </w:rPr>
      </w:r>
    </w:p>
    <w:p>
      <w:pPr>
        <w:pStyle w:val="2"/>
        <w:outlineLvl w:val="1"/>
        <w:jc w:val="center"/>
      </w:pPr>
      <w:r>
        <w:rPr>
          <w:sz w:val="24"/>
        </w:rPr>
        <w:t xml:space="preserve">III. Требования к полису обязательного</w:t>
      </w:r>
    </w:p>
    <w:p>
      <w:pPr>
        <w:pStyle w:val="2"/>
        <w:jc w:val="center"/>
      </w:pPr>
      <w:r>
        <w:rPr>
          <w:sz w:val="24"/>
        </w:rPr>
        <w:t xml:space="preserve">медицинского страхования</w:t>
      </w:r>
    </w:p>
    <w:p>
      <w:pPr>
        <w:pStyle w:val="0"/>
        <w:jc w:val="both"/>
      </w:pPr>
      <w:r>
        <w:rPr>
          <w:sz w:val="24"/>
        </w:rPr>
      </w:r>
    </w:p>
    <w:bookmarkStart w:id="222" w:name="P222"/>
    <w:bookmarkEnd w:id="222"/>
    <w:p>
      <w:pPr>
        <w:pStyle w:val="0"/>
        <w:ind w:firstLine="540"/>
        <w:jc w:val="both"/>
      </w:pPr>
      <w:r>
        <w:rPr>
          <w:sz w:val="24"/>
        </w:rPr>
        <w:t xml:space="preserve">35. Полис представляет собой уникальную последовательность символов в машиночитаемом виде, которая присваивается сведениям о застрахованном лице в едином регистре застрахованных лиц при ведении персонифицированного учета сведений о застрахованных лицах &lt;10&gt;.</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&lt;10&gt; </w:t>
      </w:r>
      <w:hyperlink w:history="0" r:id="rId58" w:tooltip="Федеральный закон от 29.11.2010 N 326-ФЗ (ред. от 20.02.2026) &quot;Об обязательном медицинском страховании в Российской Федерации&quot; {КонсультантПлюс}">
        <w:r>
          <w:rPr>
            <w:sz w:val="24"/>
            <w:color w:val="0000ff"/>
          </w:rPr>
          <w:t xml:space="preserve">Часть 2 статьи 45</w:t>
        </w:r>
      </w:hyperlink>
      <w:r>
        <w:rPr>
          <w:sz w:val="24"/>
        </w:rPr>
        <w:t xml:space="preserve"> Федерального закона.</w:t>
      </w:r>
    </w:p>
    <w:p>
      <w:pPr>
        <w:pStyle w:val="0"/>
        <w:jc w:val="both"/>
      </w:pPr>
      <w:r>
        <w:rPr>
          <w:sz w:val="24"/>
        </w:rPr>
      </w:r>
    </w:p>
    <w:p>
      <w:pPr>
        <w:pStyle w:val="0"/>
        <w:ind w:firstLine="540"/>
        <w:jc w:val="both"/>
      </w:pPr>
      <w:r>
        <w:rPr>
          <w:sz w:val="24"/>
        </w:rPr>
        <w:t xml:space="preserve">36. </w:t>
      </w:r>
      <w:hyperlink w:history="0" r:id="rId59" w:tooltip="&lt;Письмо&gt; ФФОМС от 23.07.2012 N 5409/91-и &quot;О бланке бумажного полиса обязательного медицинского страхования&quot; {КонсультантПлюс}">
        <w:r>
          <w:rPr>
            <w:sz w:val="24"/>
            <w:color w:val="0000ff"/>
          </w:rPr>
          <w:t xml:space="preserve">Полис</w:t>
        </w:r>
      </w:hyperlink>
      <w:r>
        <w:rPr>
          <w:sz w:val="24"/>
        </w:rPr>
        <w:t xml:space="preserve"> единого образца в форме бумажного бланка или в виде пластиковой карты с электронным носителем информации, выданный в соответствии с положениями Федерального </w:t>
      </w:r>
      <w:hyperlink w:history="0" r:id="rId60" w:tooltip="Федеральный закон от 29.11.2010 N 326-ФЗ (ред. от 06.12.2021) &quot;Об обязательном медицинском страховании в Российской Федерации&quot; ------------ Недействующая редакция {КонсультантПлюс}">
        <w:r>
          <w:rPr>
            <w:sz w:val="24"/>
            <w:color w:val="0000ff"/>
          </w:rPr>
          <w:t xml:space="preserve">закона</w:t>
        </w:r>
      </w:hyperlink>
      <w:r>
        <w:rPr>
          <w:sz w:val="24"/>
        </w:rPr>
        <w:t xml:space="preserve">, в редакции, действующей до 1 декабря 2022 года (далее - полис на бланке), действителен в течение всего периода действия и замены не требует.</w:t>
      </w:r>
    </w:p>
    <w:p>
      <w:pPr>
        <w:pStyle w:val="0"/>
        <w:spacing w:before="240" w:lineRule="auto"/>
        <w:ind w:firstLine="540"/>
        <w:jc w:val="both"/>
      </w:pPr>
      <w:r>
        <w:rPr>
          <w:sz w:val="24"/>
        </w:rPr>
        <w:t xml:space="preserve">37. При переоформлении и (или) утрате полиса на бланке замена бланка не производится.</w:t>
      </w:r>
    </w:p>
    <w:p>
      <w:pPr>
        <w:pStyle w:val="0"/>
        <w:spacing w:before="240" w:lineRule="auto"/>
        <w:ind w:firstLine="540"/>
        <w:jc w:val="both"/>
      </w:pPr>
      <w:r>
        <w:rPr>
          <w:sz w:val="24"/>
        </w:rPr>
        <w:t xml:space="preserve">38. Полис может быть выдан по запросу застрахованного лица или представителя (в том числе законного представителя) (бланк запроса о выписке размещается в соответствии с форматами информационного взаимодействия в сфере обязательного медицинского страхования, которые опубликовываются на официальном сайте Федерального фонда в информационно-телекоммуникационной сети "Интернет") в виде документа на материальном носителе, предназначенном для нанесения, хранения и передачи полиса в форме выписки из единого регистра застрахованных лиц сведений о полисе (далее - выписка о полисе), а также в виде штрихового кода (графической информации в кодированном виде) (далее - штриховой код), выполненного посредством Единого портала государственных и муниципальных услуг (функций).</w:t>
      </w:r>
    </w:p>
    <w:p>
      <w:pPr>
        <w:pStyle w:val="0"/>
        <w:spacing w:before="240" w:lineRule="auto"/>
        <w:ind w:firstLine="540"/>
        <w:jc w:val="both"/>
      </w:pPr>
      <w:r>
        <w:rPr>
          <w:sz w:val="24"/>
        </w:rPr>
        <w:t xml:space="preserve">39. Выписка о полисе (бланк выписки о полисе размещается в соответствии с форматами информационного взаимодействия в сфере обязательного медицинского страхования, которые опубликовываются на официальном сайте Федерального фонда в информационно-телекоммуникационной сети "Интернет") выдается в день подачи соответствующего запроса и содержит следующие сведения:</w:t>
      </w:r>
    </w:p>
    <w:p>
      <w:pPr>
        <w:pStyle w:val="0"/>
        <w:spacing w:before="240" w:lineRule="auto"/>
        <w:ind w:firstLine="540"/>
        <w:jc w:val="both"/>
      </w:pPr>
      <w:r>
        <w:rPr>
          <w:sz w:val="24"/>
        </w:rPr>
        <w:t xml:space="preserve">фамилию, имя, отчество (при наличии);</w:t>
      </w:r>
    </w:p>
    <w:p>
      <w:pPr>
        <w:pStyle w:val="0"/>
        <w:spacing w:before="240" w:lineRule="auto"/>
        <w:ind w:firstLine="540"/>
        <w:jc w:val="both"/>
      </w:pPr>
      <w:r>
        <w:rPr>
          <w:sz w:val="24"/>
        </w:rPr>
        <w:t xml:space="preserve">дату рождения;</w:t>
      </w:r>
    </w:p>
    <w:p>
      <w:pPr>
        <w:pStyle w:val="0"/>
        <w:spacing w:before="240" w:lineRule="auto"/>
        <w:ind w:firstLine="540"/>
        <w:jc w:val="both"/>
      </w:pPr>
      <w:r>
        <w:rPr>
          <w:sz w:val="24"/>
        </w:rPr>
        <w:t xml:space="preserve">пол;</w:t>
      </w:r>
    </w:p>
    <w:p>
      <w:pPr>
        <w:pStyle w:val="0"/>
        <w:spacing w:before="240" w:lineRule="auto"/>
        <w:ind w:firstLine="540"/>
        <w:jc w:val="both"/>
      </w:pPr>
      <w:r>
        <w:rPr>
          <w:sz w:val="24"/>
        </w:rPr>
        <w:t xml:space="preserve">гражданство;</w:t>
      </w:r>
    </w:p>
    <w:p>
      <w:pPr>
        <w:pStyle w:val="0"/>
        <w:spacing w:before="240" w:lineRule="auto"/>
        <w:ind w:firstLine="540"/>
        <w:jc w:val="both"/>
      </w:pPr>
      <w:r>
        <w:rPr>
          <w:sz w:val="24"/>
        </w:rPr>
        <w:t xml:space="preserve">номер полиса;</w:t>
      </w:r>
    </w:p>
    <w:p>
      <w:pPr>
        <w:pStyle w:val="0"/>
        <w:spacing w:before="240" w:lineRule="auto"/>
        <w:ind w:firstLine="540"/>
        <w:jc w:val="both"/>
      </w:pPr>
      <w:r>
        <w:rPr>
          <w:sz w:val="24"/>
        </w:rPr>
        <w:t xml:space="preserve">срок действия полиса (при наличии);</w:t>
      </w:r>
    </w:p>
    <w:p>
      <w:pPr>
        <w:pStyle w:val="0"/>
        <w:spacing w:before="240" w:lineRule="auto"/>
        <w:ind w:firstLine="540"/>
        <w:jc w:val="both"/>
      </w:pPr>
      <w:r>
        <w:rPr>
          <w:sz w:val="24"/>
        </w:rPr>
        <w:t xml:space="preserve">штриховой код полиса;</w:t>
      </w:r>
    </w:p>
    <w:p>
      <w:pPr>
        <w:pStyle w:val="0"/>
        <w:spacing w:before="240" w:lineRule="auto"/>
        <w:ind w:firstLine="540"/>
        <w:jc w:val="both"/>
      </w:pPr>
      <w:r>
        <w:rPr>
          <w:sz w:val="24"/>
        </w:rPr>
        <w:t xml:space="preserve">реестровый номер страховой медицинской организации;</w:t>
      </w:r>
    </w:p>
    <w:p>
      <w:pPr>
        <w:pStyle w:val="0"/>
        <w:spacing w:before="240" w:lineRule="auto"/>
        <w:ind w:firstLine="540"/>
        <w:jc w:val="both"/>
      </w:pPr>
      <w:r>
        <w:rPr>
          <w:sz w:val="24"/>
        </w:rPr>
        <w:t xml:space="preserve">наименование страховой медицинской организации;</w:t>
      </w:r>
    </w:p>
    <w:p>
      <w:pPr>
        <w:pStyle w:val="0"/>
        <w:spacing w:before="240" w:lineRule="auto"/>
        <w:ind w:firstLine="540"/>
        <w:jc w:val="both"/>
      </w:pPr>
      <w:r>
        <w:rPr>
          <w:sz w:val="24"/>
        </w:rPr>
        <w:t xml:space="preserve">контактный номер телефона страховой медицинской организации;</w:t>
      </w:r>
    </w:p>
    <w:p>
      <w:pPr>
        <w:pStyle w:val="0"/>
        <w:spacing w:before="240" w:lineRule="auto"/>
        <w:ind w:firstLine="540"/>
        <w:jc w:val="both"/>
      </w:pPr>
      <w:r>
        <w:rPr>
          <w:sz w:val="24"/>
        </w:rPr>
        <w:t xml:space="preserve">субъект Российской Федерации, в котором выдан полис.</w:t>
      </w:r>
    </w:p>
    <w:p>
      <w:pPr>
        <w:pStyle w:val="0"/>
        <w:spacing w:before="240" w:lineRule="auto"/>
        <w:ind w:firstLine="540"/>
        <w:jc w:val="both"/>
      </w:pPr>
      <w:r>
        <w:rPr>
          <w:sz w:val="24"/>
        </w:rPr>
        <w:t xml:space="preserve">40. В составе штрихового кода содержатся следующие сведения о застрахованном лице из единого регистра застрахованных лиц:</w:t>
      </w:r>
    </w:p>
    <w:p>
      <w:pPr>
        <w:pStyle w:val="0"/>
        <w:spacing w:before="240" w:lineRule="auto"/>
        <w:ind w:firstLine="540"/>
        <w:jc w:val="both"/>
      </w:pPr>
      <w:r>
        <w:rPr>
          <w:sz w:val="24"/>
        </w:rPr>
        <w:t xml:space="preserve">номер полиса;</w:t>
      </w:r>
    </w:p>
    <w:p>
      <w:pPr>
        <w:pStyle w:val="0"/>
        <w:spacing w:before="240" w:lineRule="auto"/>
        <w:ind w:firstLine="540"/>
        <w:jc w:val="both"/>
      </w:pPr>
      <w:r>
        <w:rPr>
          <w:sz w:val="24"/>
        </w:rPr>
        <w:t xml:space="preserve">фамилия, имя, отчество (при наличии);</w:t>
      </w:r>
    </w:p>
    <w:p>
      <w:pPr>
        <w:pStyle w:val="0"/>
        <w:spacing w:before="240" w:lineRule="auto"/>
        <w:ind w:firstLine="540"/>
        <w:jc w:val="both"/>
      </w:pPr>
      <w:r>
        <w:rPr>
          <w:sz w:val="24"/>
        </w:rPr>
        <w:t xml:space="preserve">пол;</w:t>
      </w:r>
    </w:p>
    <w:p>
      <w:pPr>
        <w:pStyle w:val="0"/>
        <w:spacing w:before="240" w:lineRule="auto"/>
        <w:ind w:firstLine="540"/>
        <w:jc w:val="both"/>
      </w:pPr>
      <w:r>
        <w:rPr>
          <w:sz w:val="24"/>
        </w:rPr>
        <w:t xml:space="preserve">дата рождения;</w:t>
      </w:r>
    </w:p>
    <w:p>
      <w:pPr>
        <w:pStyle w:val="0"/>
        <w:spacing w:before="240" w:lineRule="auto"/>
        <w:ind w:firstLine="540"/>
        <w:jc w:val="both"/>
      </w:pPr>
      <w:r>
        <w:rPr>
          <w:sz w:val="24"/>
        </w:rPr>
        <w:t xml:space="preserve">срок действия полиса (при наличии);</w:t>
      </w:r>
    </w:p>
    <w:p>
      <w:pPr>
        <w:pStyle w:val="0"/>
        <w:spacing w:before="240" w:lineRule="auto"/>
        <w:ind w:firstLine="540"/>
        <w:jc w:val="both"/>
      </w:pPr>
      <w:r>
        <w:rPr>
          <w:sz w:val="24"/>
        </w:rPr>
        <w:t xml:space="preserve">тип штрихового кода (содержит "1");</w:t>
      </w:r>
    </w:p>
    <w:p>
      <w:pPr>
        <w:pStyle w:val="0"/>
        <w:spacing w:before="240" w:lineRule="auto"/>
        <w:ind w:firstLine="540"/>
        <w:jc w:val="both"/>
      </w:pPr>
      <w:r>
        <w:rPr>
          <w:sz w:val="24"/>
        </w:rPr>
        <w:t xml:space="preserve">электронная подпись организации, сформировавшей штриховой код.</w:t>
      </w:r>
    </w:p>
    <w:bookmarkStart w:id="249" w:name="P249"/>
    <w:bookmarkEnd w:id="249"/>
    <w:p>
      <w:pPr>
        <w:pStyle w:val="0"/>
        <w:spacing w:before="240" w:lineRule="auto"/>
        <w:ind w:firstLine="540"/>
        <w:jc w:val="both"/>
      </w:pPr>
      <w:r>
        <w:rPr>
          <w:sz w:val="24"/>
        </w:rPr>
        <w:t xml:space="preserve">41. На основании </w:t>
      </w:r>
      <w:hyperlink w:history="0" r:id="rId61" w:tooltip="Постановление Правительства РФ от 07.09.2022 N 1578 &quot;О сроках одновременного использования единого федерального информационного регистра, содержащего сведения о населении Российской Федерации, и государственных информационных систем органов и организаций, указанных в статье 10 Федерального закона &quot;О едином федеральном информационном регистре, содержащем сведения о населении Российской Федерации&quot;, при организации межведомственного информационного взаимодействия в целях предоставления государственных и муници {КонсультантПлюс}">
        <w:r>
          <w:rPr>
            <w:sz w:val="24"/>
            <w:color w:val="0000ff"/>
          </w:rPr>
          <w:t xml:space="preserve">постановления</w:t>
        </w:r>
      </w:hyperlink>
      <w:r>
        <w:rPr>
          <w:sz w:val="24"/>
        </w:rPr>
        <w:t xml:space="preserve"> Правительства Российской Федерации от 7 сентября 2022 г. N 1578 "О сроках одновременного использования единого федерального информационного регистра, содержащего сведения о населении Российской Федерации, и государственных информационных систем органов и организаций, указанных в статье 10 Федерального закона "О едином федеральном информационном регистре, содержащем сведения о населении Российской Федерации", при организации межведомственного информационного взаимодействия в целях предоставления государственных и муниципальных услуг и выполнения государственных и муниципальных функций в переходный период" установлено, что в течение переходного периода, сроки которого установлены </w:t>
      </w:r>
      <w:hyperlink w:history="0" r:id="rId62" w:tooltip="Федеральный закон от 08.06.2020 N 168-ФЗ (ред. от 28.11.2025) &quot;О едином федеральном информационном регистре, содержащем сведения о населении Российской Федерации&quot; {КонсультантПлюс}">
        <w:r>
          <w:rPr>
            <w:sz w:val="24"/>
            <w:color w:val="0000ff"/>
          </w:rPr>
          <w:t xml:space="preserve">частью 1 статьи 13</w:t>
        </w:r>
      </w:hyperlink>
      <w:r>
        <w:rPr>
          <w:sz w:val="24"/>
        </w:rPr>
        <w:t xml:space="preserve"> Федерального закона от 8 июня 2020 г. N 168-ФЗ "О едином федеральном информационном регистре, содержащем сведения о населении Российской Федерации" (далее - Федеральный закон N 168-ФЗ), допускается одновременное использование единого федерального информационного регистра, содержащего сведения о населении Российской Федерации, и государственных информационных систем органов и организаций, указанных в </w:t>
      </w:r>
      <w:hyperlink w:history="0" r:id="rId63" w:tooltip="Федеральный закон от 08.06.2020 N 168-ФЗ (ред. от 28.11.2025) &quot;О едином федеральном информационном регистре, содержащем сведения о населении Российской Федерации&quot; {КонсультантПлюс}">
        <w:r>
          <w:rPr>
            <w:sz w:val="24"/>
            <w:color w:val="0000ff"/>
          </w:rPr>
          <w:t xml:space="preserve">статье 10</w:t>
        </w:r>
      </w:hyperlink>
      <w:r>
        <w:rPr>
          <w:sz w:val="24"/>
        </w:rPr>
        <w:t xml:space="preserve"> Федерального закона N 168-ФЗ, при организации межведомственного информационного взаимодействия в целях предоставления государственных и муниципальных услуг и выполнения государственных и муниципальных функций.</w:t>
      </w:r>
    </w:p>
    <w:p>
      <w:pPr>
        <w:pStyle w:val="0"/>
        <w:spacing w:before="240" w:lineRule="auto"/>
        <w:ind w:firstLine="540"/>
        <w:jc w:val="both"/>
      </w:pPr>
      <w:r>
        <w:rPr>
          <w:sz w:val="24"/>
        </w:rPr>
        <w:t xml:space="preserve">42. Застрахованные лица при обращении за медицинской помощью, за исключением случаев получения медицинской помощи в экстренной форме:</w:t>
      </w:r>
    </w:p>
    <w:p>
      <w:pPr>
        <w:pStyle w:val="0"/>
        <w:spacing w:before="240" w:lineRule="auto"/>
        <w:ind w:firstLine="540"/>
        <w:jc w:val="both"/>
      </w:pPr>
      <w:r>
        <w:rPr>
          <w:sz w:val="24"/>
        </w:rPr>
        <w:t xml:space="preserve">1) в течение переходного периода, сроки которого установлены </w:t>
      </w:r>
      <w:hyperlink w:history="0" r:id="rId64" w:tooltip="Федеральный закон от 08.06.2020 N 168-ФЗ (ред. от 28.11.2025) &quot;О едином федеральном информационном регистре, содержащем сведения о населении Российской Федерации&quot; {КонсультантПлюс}">
        <w:r>
          <w:rPr>
            <w:sz w:val="24"/>
            <w:color w:val="0000ff"/>
          </w:rPr>
          <w:t xml:space="preserve">частью 1 статьи 13</w:t>
        </w:r>
      </w:hyperlink>
      <w:r>
        <w:rPr>
          <w:sz w:val="24"/>
        </w:rPr>
        <w:t xml:space="preserve"> Федерального закона N 168-ФЗ, предъявляют полис на бланке либо выписку о полисе, а при наличии технической возможности однозначной идентификации застрахованного лица в едином регистре застрахованных лиц идентификация застрахованных лиц может осуществляться при предъявлении застрахованным лицом или представителем (в том числе законным представителем) документа, удостоверяющего личность застрахованного лица;</w:t>
      </w:r>
    </w:p>
    <w:p>
      <w:pPr>
        <w:pStyle w:val="0"/>
        <w:spacing w:before="240" w:lineRule="auto"/>
        <w:ind w:firstLine="540"/>
        <w:jc w:val="both"/>
      </w:pPr>
      <w:r>
        <w:rPr>
          <w:sz w:val="24"/>
        </w:rPr>
        <w:t xml:space="preserve">2) по истечении переходного периода, сроки которого установлены </w:t>
      </w:r>
      <w:hyperlink w:history="0" r:id="rId65" w:tooltip="Федеральный закон от 08.06.2020 N 168-ФЗ (ред. от 28.11.2025) &quot;О едином федеральном информационном регистре, содержащем сведения о населении Российской Федерации&quot; {КонсультантПлюс}">
        <w:r>
          <w:rPr>
            <w:sz w:val="24"/>
            <w:color w:val="0000ff"/>
          </w:rPr>
          <w:t xml:space="preserve">частью 1 статьи 13</w:t>
        </w:r>
      </w:hyperlink>
      <w:r>
        <w:rPr>
          <w:sz w:val="24"/>
        </w:rPr>
        <w:t xml:space="preserve"> Федерального закона N 168-ФЗ, предъявляют по своему выбору полис на бланке, выписку о полисе, либо документ, удостоверяющий личность (для детей в возрасте до четырнадцати лет - свидетельство о рождении).</w:t>
      </w:r>
    </w:p>
    <w:p>
      <w:pPr>
        <w:pStyle w:val="0"/>
        <w:spacing w:before="240" w:lineRule="auto"/>
        <w:ind w:firstLine="540"/>
        <w:jc w:val="both"/>
      </w:pPr>
      <w:r>
        <w:rPr>
          <w:sz w:val="24"/>
        </w:rPr>
        <w:t xml:space="preserve">43. Испорченные, недействительные, невостребованные полисы на бланках хранятся в страховой медицинской организации в течение трех лет со дня приема заявления о выборе (замене) страховой медицинской организации, заявления о переоформлении полиса.</w:t>
      </w:r>
    </w:p>
    <w:p>
      <w:pPr>
        <w:pStyle w:val="0"/>
        <w:spacing w:before="240" w:lineRule="auto"/>
        <w:ind w:firstLine="540"/>
        <w:jc w:val="both"/>
      </w:pPr>
      <w:r>
        <w:rPr>
          <w:sz w:val="24"/>
        </w:rPr>
        <w:t xml:space="preserve">44. Невостребованные полисы на бланке, заказанные в соответствии с положениями редакции Федерального </w:t>
      </w:r>
      <w:hyperlink w:history="0" r:id="rId66" w:tooltip="Федеральный закон от 29.11.2010 N 326-ФЗ (ред. от 06.12.2021) &quot;Об обязательном медицинском страховании в Российской Федерации&quot; ------------ Недействующая редакция {КонсультантПлюс}">
        <w:r>
          <w:rPr>
            <w:sz w:val="24"/>
            <w:color w:val="0000ff"/>
          </w:rPr>
          <w:t xml:space="preserve">закона</w:t>
        </w:r>
      </w:hyperlink>
      <w:r>
        <w:rPr>
          <w:sz w:val="24"/>
        </w:rPr>
        <w:t xml:space="preserve">, действующей до 1 декабря 2022 года, могут быть выданы застрахованным лицам.</w:t>
      </w:r>
    </w:p>
    <w:p>
      <w:pPr>
        <w:pStyle w:val="0"/>
        <w:spacing w:before="240" w:lineRule="auto"/>
        <w:ind w:firstLine="540"/>
        <w:jc w:val="both"/>
      </w:pPr>
      <w:r>
        <w:rPr>
          <w:sz w:val="24"/>
        </w:rPr>
        <w:t xml:space="preserve">45. Полисы на бланках лиц, застрахованных в иных страховых медицинских организациях, подлежат передаче в территориальный фонд по месту страхования застрахованного лица.</w:t>
      </w:r>
    </w:p>
    <w:p>
      <w:pPr>
        <w:pStyle w:val="0"/>
        <w:spacing w:before="240" w:lineRule="auto"/>
        <w:ind w:firstLine="540"/>
        <w:jc w:val="both"/>
      </w:pPr>
      <w:r>
        <w:rPr>
          <w:sz w:val="24"/>
        </w:rPr>
        <w:t xml:space="preserve">46. По истечении срока хранения полисы на бланках подлежат списанию и уничтожению по решению комиссии по списанию и уничтожению полисов на бланках, признанных недействительными, создаваемой приказом страховой медицинской организации, согласованным с территориальным фондом, с оформлением </w:t>
      </w:r>
      <w:hyperlink w:history="0" r:id="rId67" w:tooltip="&lt;Письмо&gt; ФФОМС от 30.12.2011 N 9161/30-1/и (ред. от 19.01.2017) &lt;О направлении Методических указаний по представлению информации в сфере обязательного медицинского страхования&gt; {КонсультантПлюс}">
        <w:r>
          <w:rPr>
            <w:sz w:val="24"/>
            <w:color w:val="0000ff"/>
          </w:rPr>
          <w:t xml:space="preserve">акта</w:t>
        </w:r>
      </w:hyperlink>
      <w:r>
        <w:rPr>
          <w:sz w:val="24"/>
        </w:rPr>
        <w:t xml:space="preserve"> списания и уничтожения бланков полисов в форме бумажного документа или пластиковой карты с электронным носителем информации, признанных недействительными или невостребованными.</w:t>
      </w:r>
    </w:p>
    <w:p>
      <w:pPr>
        <w:pStyle w:val="0"/>
        <w:spacing w:before="240" w:lineRule="auto"/>
        <w:ind w:firstLine="540"/>
        <w:jc w:val="both"/>
      </w:pPr>
      <w:r>
        <w:rPr>
          <w:sz w:val="24"/>
        </w:rPr>
        <w:t xml:space="preserve">47. В состав комиссии по списанию и уничтожению полисов на бланках, признанных недействительными, включаются представители территориального фонда и страховой медицинской организации.</w:t>
      </w:r>
    </w:p>
    <w:p>
      <w:pPr>
        <w:pStyle w:val="0"/>
        <w:jc w:val="both"/>
      </w:pPr>
      <w:r>
        <w:rPr>
          <w:sz w:val="24"/>
        </w:rPr>
      </w:r>
    </w:p>
    <w:p>
      <w:pPr>
        <w:pStyle w:val="2"/>
        <w:outlineLvl w:val="1"/>
        <w:jc w:val="center"/>
      </w:pPr>
      <w:r>
        <w:rPr>
          <w:sz w:val="24"/>
        </w:rPr>
        <w:t xml:space="preserve">IV. Выдача, переоформление и приостановление действия полиса</w:t>
      </w:r>
    </w:p>
    <w:p>
      <w:pPr>
        <w:pStyle w:val="0"/>
        <w:jc w:val="both"/>
      </w:pPr>
      <w:r>
        <w:rPr>
          <w:sz w:val="24"/>
        </w:rPr>
      </w:r>
    </w:p>
    <w:p>
      <w:pPr>
        <w:pStyle w:val="0"/>
        <w:ind w:firstLine="540"/>
        <w:jc w:val="both"/>
      </w:pPr>
      <w:r>
        <w:rPr>
          <w:sz w:val="24"/>
        </w:rPr>
        <w:t xml:space="preserve">48. Гражданам Российской Федерации, проживающим на территории Российской Федерации, полис формируется без ограничения срока действия.</w:t>
      </w:r>
    </w:p>
    <w:bookmarkStart w:id="262" w:name="P262"/>
    <w:bookmarkEnd w:id="262"/>
    <w:p>
      <w:pPr>
        <w:pStyle w:val="0"/>
        <w:spacing w:before="240" w:lineRule="auto"/>
        <w:ind w:firstLine="540"/>
        <w:jc w:val="both"/>
      </w:pPr>
      <w:r>
        <w:rPr>
          <w:sz w:val="24"/>
        </w:rPr>
        <w:t xml:space="preserve">49. Постоянно проживающим на территории Российской Федерации иностранным гражданам и лицам без гражданства формируется полис со сроком действия до конца текущего календарного года, но не более срока действия вида на жительство.</w:t>
      </w:r>
    </w:p>
    <w:p>
      <w:pPr>
        <w:pStyle w:val="0"/>
        <w:spacing w:before="240" w:lineRule="auto"/>
        <w:ind w:firstLine="540"/>
        <w:jc w:val="both"/>
      </w:pPr>
      <w:r>
        <w:rPr>
          <w:sz w:val="24"/>
        </w:rPr>
        <w:t xml:space="preserve">50. Лицам, имеющим право на получение медицинской помощи в соответствии с Федеральным </w:t>
      </w:r>
      <w:hyperlink w:history="0" r:id="rId68" w:tooltip="Федеральный закон от 19.02.1993 N 4528-1 (ред. от 23.07.2025) &quot;О беженцах&quot; {КонсультантПлюс}">
        <w:r>
          <w:rPr>
            <w:sz w:val="24"/>
            <w:color w:val="0000ff"/>
          </w:rPr>
          <w:t xml:space="preserve">законом</w:t>
        </w:r>
      </w:hyperlink>
      <w:r>
        <w:rPr>
          <w:sz w:val="24"/>
        </w:rPr>
        <w:t xml:space="preserve"> "О беженцах", формируется полис со сроком действия до конца текущего календарного года, но не более срока пребывания, установленного в документах, указанных в </w:t>
      </w:r>
      <w:hyperlink w:history="0" w:anchor="P131" w:tooltip="5) для лиц, имеющих право на медицинскую помощь в соответствии с Федеральным законом от 19 февраля 1993 г. N 4528-1 &quot;О беженцах&quot; (далее - Федеральный закон &quot;О беженцах&quot;):">
        <w:r>
          <w:rPr>
            <w:sz w:val="24"/>
            <w:color w:val="0000ff"/>
          </w:rPr>
          <w:t xml:space="preserve">подпункте 5 пункта 16</w:t>
        </w:r>
      </w:hyperlink>
      <w:r>
        <w:rPr>
          <w:sz w:val="24"/>
        </w:rPr>
        <w:t xml:space="preserve"> настоящих Правил.</w:t>
      </w:r>
    </w:p>
    <w:p>
      <w:pPr>
        <w:pStyle w:val="0"/>
        <w:spacing w:before="240" w:lineRule="auto"/>
        <w:ind w:firstLine="540"/>
        <w:jc w:val="both"/>
      </w:pPr>
      <w:r>
        <w:rPr>
          <w:sz w:val="24"/>
        </w:rPr>
        <w:t xml:space="preserve">51. Временно проживающим на территории Российской Федерации иностранным гражданам и лицам без гражданства формируется полис со сроком действия до конца текущего календарного года, но не более срока действия разрешения на временное проживание.</w:t>
      </w:r>
    </w:p>
    <w:p>
      <w:pPr>
        <w:pStyle w:val="0"/>
        <w:spacing w:before="240" w:lineRule="auto"/>
        <w:ind w:firstLine="540"/>
        <w:jc w:val="both"/>
      </w:pPr>
      <w:r>
        <w:rPr>
          <w:sz w:val="24"/>
        </w:rPr>
        <w:t xml:space="preserve">52. Временно пребывающим в Российской Федерации трудящимся государств - членов ЕАЭС формируется полис со сроком действия до конца текущего календарного года, но не более срока действия трудового договора, заключенного с трудящимся государства - члена ЕАЭС.</w:t>
      </w:r>
    </w:p>
    <w:bookmarkStart w:id="266" w:name="P266"/>
    <w:bookmarkEnd w:id="266"/>
    <w:p>
      <w:pPr>
        <w:pStyle w:val="0"/>
        <w:spacing w:before="240" w:lineRule="auto"/>
        <w:ind w:firstLine="540"/>
        <w:jc w:val="both"/>
      </w:pPr>
      <w:r>
        <w:rPr>
          <w:sz w:val="24"/>
        </w:rPr>
        <w:t xml:space="preserve">53. Временно пребывающим в Российской Федерации иностранным гражданам, относящимся к категории членов коллегии Комиссии, должностных лиц и сотрудников органов ЕАЭС, формируется полис со сроком действия до конца текущего календарного года, но не более срока исполнения ими соответствующих полномочий.</w:t>
      </w:r>
    </w:p>
    <w:p>
      <w:pPr>
        <w:pStyle w:val="0"/>
        <w:spacing w:before="240" w:lineRule="auto"/>
        <w:ind w:firstLine="540"/>
        <w:jc w:val="both"/>
      </w:pPr>
      <w:r>
        <w:rPr>
          <w:sz w:val="24"/>
        </w:rPr>
        <w:t xml:space="preserve">54. При обращении граждан, указанных в </w:t>
      </w:r>
      <w:hyperlink w:history="0" w:anchor="P262" w:tooltip="49. Постоянно проживающим на территории Российской Федерации иностранным гражданам и лицам без гражданства формируется полис со сроком действия до конца текущего календарного года, но не более срока действия вида на жительство.">
        <w:r>
          <w:rPr>
            <w:sz w:val="24"/>
            <w:color w:val="0000ff"/>
          </w:rPr>
          <w:t xml:space="preserve">пунктах 49</w:t>
        </w:r>
      </w:hyperlink>
      <w:r>
        <w:rPr>
          <w:sz w:val="24"/>
        </w:rPr>
        <w:t xml:space="preserve"> - </w:t>
      </w:r>
      <w:hyperlink w:history="0" w:anchor="P266" w:tooltip="53. Временно пребывающим в Российской Федерации иностранным гражданам, относящимся к категории членов коллегии Комиссии, должностных лиц и сотрудников органов ЕАЭС, формируется полис со сроком действия до конца текущего календарного года, но не более срока исполнения ими соответствующих полномочий.">
        <w:r>
          <w:rPr>
            <w:sz w:val="24"/>
            <w:color w:val="0000ff"/>
          </w:rPr>
          <w:t xml:space="preserve">53</w:t>
        </w:r>
      </w:hyperlink>
      <w:r>
        <w:rPr>
          <w:sz w:val="24"/>
        </w:rPr>
        <w:t xml:space="preserve"> настоящих Правил, для оформления полиса в период с 1 ноября до 31 декабря текущего года, выдается полис со сроком действия до конца следующего календарного года, но не более срока пребывания, действия вида на жительство, действия разрешения на временное проживание, действия трудового договора или исполнения соответствующих полномочий.</w:t>
      </w:r>
    </w:p>
    <w:p>
      <w:pPr>
        <w:pStyle w:val="0"/>
        <w:spacing w:before="240" w:lineRule="auto"/>
        <w:ind w:firstLine="540"/>
        <w:jc w:val="both"/>
      </w:pPr>
      <w:r>
        <w:rPr>
          <w:sz w:val="24"/>
        </w:rPr>
        <w:t xml:space="preserve">55. Лицам, указанным в </w:t>
      </w:r>
      <w:hyperlink w:history="0" w:anchor="P197" w:tooltip="21. Временно пребывающие и осуществляющие трудовую деятельность на территории Российской Федерации иностранные граждане, лица без гражданства (за исключением высококвалифицированных специалистов, а также иностранных граждан, осуществляющих в Российской Федерации трудовую деятельность в соответствии со статьей 13.5 Федерального закона N 115-ФЗ), имеют право на включение в единый регистр застрахованных лиц в случае уплаты за них страхователями страховых взносов на обязательное медицинское страхование непре...">
        <w:r>
          <w:rPr>
            <w:sz w:val="24"/>
            <w:color w:val="0000ff"/>
          </w:rPr>
          <w:t xml:space="preserve">пункте 21</w:t>
        </w:r>
      </w:hyperlink>
      <w:r>
        <w:rPr>
          <w:sz w:val="24"/>
        </w:rPr>
        <w:t xml:space="preserve"> настоящих Правил, полис формируется со сроком действия до конца текущего календарного года. При утрате статуса работающего в соответствии с требованиями </w:t>
      </w:r>
      <w:hyperlink w:history="0" r:id="rId69" w:tooltip="Федеральный закон от 29.11.2010 N 326-ФЗ (ред. от 20.02.2026) &quot;Об обязательном медицинском страховании в Российской Федерации&quot; {КонсультантПлюс}">
        <w:r>
          <w:rPr>
            <w:sz w:val="24"/>
            <w:color w:val="0000ff"/>
          </w:rPr>
          <w:t xml:space="preserve">части 2 статьи 49.1</w:t>
        </w:r>
      </w:hyperlink>
      <w:r>
        <w:rPr>
          <w:sz w:val="24"/>
        </w:rPr>
        <w:t xml:space="preserve"> Федерального закона полис признается недействительным.</w:t>
      </w:r>
    </w:p>
    <w:bookmarkStart w:id="269" w:name="P269"/>
    <w:bookmarkEnd w:id="269"/>
    <w:p>
      <w:pPr>
        <w:pStyle w:val="0"/>
        <w:spacing w:before="240" w:lineRule="auto"/>
        <w:ind w:firstLine="540"/>
        <w:jc w:val="both"/>
      </w:pPr>
      <w:r>
        <w:rPr>
          <w:sz w:val="24"/>
        </w:rPr>
        <w:t xml:space="preserve">56. В день подачи застрахованным лицом или представителем (в том числе законным представителем) заявления о выборе (замене) страховой медицинской организации и заявления о включении в единый регистр застрахованных лиц страховая медицинская организация (иная организация), в которую были поданы указанные заявления, направляет информацию в территориальный фонд в соответствии с порядком информационного взаимодействия в сфере обязательного медицинского страхования.</w:t>
      </w:r>
    </w:p>
    <w:bookmarkStart w:id="270" w:name="P270"/>
    <w:bookmarkEnd w:id="270"/>
    <w:p>
      <w:pPr>
        <w:pStyle w:val="0"/>
        <w:spacing w:before="240" w:lineRule="auto"/>
        <w:ind w:firstLine="540"/>
        <w:jc w:val="both"/>
      </w:pPr>
      <w:r>
        <w:rPr>
          <w:sz w:val="24"/>
        </w:rPr>
        <w:t xml:space="preserve">57. Страховая медицинская организация, выбранная застрахованным лицом при осуществлении замены страховой медицинской организации на основании заявления о выборе (замене) страховой медицинской организации, не позднее одного рабочего дня, следующего за днем обращения застрахованного лица с заявлением, направляет информацию в территориальный фонд в соответствии с порядком информационного взаимодействия.</w:t>
      </w:r>
    </w:p>
    <w:p>
      <w:pPr>
        <w:pStyle w:val="0"/>
        <w:spacing w:before="240" w:lineRule="auto"/>
        <w:ind w:firstLine="540"/>
        <w:jc w:val="both"/>
      </w:pPr>
      <w:r>
        <w:rPr>
          <w:sz w:val="24"/>
        </w:rPr>
        <w:t xml:space="preserve">58. В случае наличия у застрахованного лица полиса на бланке страховая медицинская организация вносит сведения о выбранной страховой медицинской организации в полис на материальном носителе (на полис единого образца в виде пластиковой карты с электронным носителем информации сведения вносятся при наличии у застрахованного лица пароля доступа держателя пластиковой карты).</w:t>
      </w:r>
    </w:p>
    <w:p>
      <w:pPr>
        <w:pStyle w:val="0"/>
        <w:spacing w:before="240" w:lineRule="auto"/>
        <w:ind w:firstLine="540"/>
        <w:jc w:val="both"/>
      </w:pPr>
      <w:r>
        <w:rPr>
          <w:sz w:val="24"/>
        </w:rPr>
        <w:t xml:space="preserve">59. При наличии соответствующего запроса застрахованного лица или представителя (в том числе законного представителя) в заявлении о выборе (замене) страховой медицинской организации страховая медицинская организация выдает застрахованному лицу выписку о полисе, содержащую в том числе сведения о застрахованном лице и выбранной им страховой медицинской организации, в том числе штриховой код.</w:t>
      </w:r>
    </w:p>
    <w:bookmarkStart w:id="273" w:name="P273"/>
    <w:bookmarkEnd w:id="273"/>
    <w:p>
      <w:pPr>
        <w:pStyle w:val="0"/>
        <w:spacing w:before="240" w:lineRule="auto"/>
        <w:ind w:firstLine="540"/>
        <w:jc w:val="both"/>
      </w:pPr>
      <w:r>
        <w:rPr>
          <w:sz w:val="24"/>
        </w:rPr>
        <w:t xml:space="preserve">60. В день подачи заявления о сдаче (утрате) полиса или заявления о приостановлении действия полиса страховая медицинская организация, в которую были поданы указанные заявления на бумажном носителе застрахованным лицом лично или представителем (в том числе законным представителем), обеспечивает внесение указанного заявления в единый регистр застрахованных лиц и направление его на рассмотрение в территориальный фонд.</w:t>
      </w:r>
    </w:p>
    <w:p>
      <w:pPr>
        <w:pStyle w:val="0"/>
        <w:spacing w:before="240" w:lineRule="auto"/>
        <w:ind w:firstLine="540"/>
        <w:jc w:val="both"/>
      </w:pPr>
      <w:r>
        <w:rPr>
          <w:sz w:val="24"/>
        </w:rPr>
        <w:t xml:space="preserve">61. Переоформление полиса осуществляется в случаях:</w:t>
      </w:r>
    </w:p>
    <w:p>
      <w:pPr>
        <w:pStyle w:val="0"/>
        <w:spacing w:before="240" w:lineRule="auto"/>
        <w:ind w:firstLine="540"/>
        <w:jc w:val="both"/>
      </w:pPr>
      <w:r>
        <w:rPr>
          <w:sz w:val="24"/>
        </w:rPr>
        <w:t xml:space="preserve">1) изменения фамилии, имени, отчества;</w:t>
      </w:r>
    </w:p>
    <w:p>
      <w:pPr>
        <w:pStyle w:val="0"/>
        <w:spacing w:before="240" w:lineRule="auto"/>
        <w:ind w:firstLine="540"/>
        <w:jc w:val="both"/>
      </w:pPr>
      <w:r>
        <w:rPr>
          <w:sz w:val="24"/>
        </w:rPr>
        <w:t xml:space="preserve">2) изменения даты рождения и пола застрахованного лица;</w:t>
      </w:r>
    </w:p>
    <w:p>
      <w:pPr>
        <w:pStyle w:val="0"/>
        <w:spacing w:before="240" w:lineRule="auto"/>
        <w:ind w:firstLine="540"/>
        <w:jc w:val="both"/>
      </w:pPr>
      <w:r>
        <w:rPr>
          <w:sz w:val="24"/>
        </w:rPr>
        <w:t xml:space="preserve">3) установления неточности или ошибочности сведений, содержащихся в полисе на бланке;</w:t>
      </w:r>
    </w:p>
    <w:p>
      <w:pPr>
        <w:pStyle w:val="0"/>
        <w:spacing w:before="240" w:lineRule="auto"/>
        <w:ind w:firstLine="540"/>
        <w:jc w:val="both"/>
      </w:pPr>
      <w:r>
        <w:rPr>
          <w:sz w:val="24"/>
        </w:rPr>
        <w:t xml:space="preserve">4) необходимости продления действия полиса лицам, указанным в </w:t>
      </w:r>
      <w:hyperlink w:history="0" w:anchor="P197" w:tooltip="21. Временно пребывающие и осуществляющие трудовую деятельность на территории Российской Федерации иностранные граждане, лица без гражданства (за исключением высококвалифицированных специалистов, а также иностранных граждан, осуществляющих в Российской Федерации трудовую деятельность в соответствии со статьей 13.5 Федерального закона N 115-ФЗ), имеют право на включение в единый регистр застрахованных лиц в случае уплаты за них страхователями страховых взносов на обязательное медицинское страхование непре...">
        <w:r>
          <w:rPr>
            <w:sz w:val="24"/>
            <w:color w:val="0000ff"/>
          </w:rPr>
          <w:t xml:space="preserve">пунктах 21</w:t>
        </w:r>
      </w:hyperlink>
      <w:r>
        <w:rPr>
          <w:sz w:val="24"/>
        </w:rPr>
        <w:t xml:space="preserve">, </w:t>
      </w:r>
      <w:hyperlink w:history="0" w:anchor="P262" w:tooltip="49. Постоянно проживающим на территории Российской Федерации иностранным гражданам и лицам без гражданства формируется полис со сроком действия до конца текущего календарного года, но не более срока действия вида на жительство.">
        <w:r>
          <w:rPr>
            <w:sz w:val="24"/>
            <w:color w:val="0000ff"/>
          </w:rPr>
          <w:t xml:space="preserve">49</w:t>
        </w:r>
      </w:hyperlink>
      <w:r>
        <w:rPr>
          <w:sz w:val="24"/>
        </w:rPr>
        <w:t xml:space="preserve"> - </w:t>
      </w:r>
      <w:hyperlink w:history="0" w:anchor="P266" w:tooltip="53. Временно пребывающим в Российской Федерации иностранным гражданам, относящимся к категории членов коллегии Комиссии, должностных лиц и сотрудников органов ЕАЭС, формируется полис со сроком действия до конца текущего календарного года, но не более срока исполнения ими соответствующих полномочий.">
        <w:r>
          <w:rPr>
            <w:sz w:val="24"/>
            <w:color w:val="0000ff"/>
          </w:rPr>
          <w:t xml:space="preserve">53</w:t>
        </w:r>
      </w:hyperlink>
      <w:r>
        <w:rPr>
          <w:sz w:val="24"/>
        </w:rPr>
        <w:t xml:space="preserve"> настоящих Правил, при сохранении у них права на обязательное медицинское страхование в случае продления срока действия вида на жительство, действия разрешения на временное проживание, действия трудового договора или исполнения соответствующих полномочий, сохранении статуса работающего, продлении действия документа, удостоверяющего личность гражданина Российской Федерации за пределами территории Российской Федерации.</w:t>
      </w:r>
    </w:p>
    <w:bookmarkStart w:id="279" w:name="P279"/>
    <w:bookmarkEnd w:id="279"/>
    <w:p>
      <w:pPr>
        <w:pStyle w:val="0"/>
        <w:spacing w:before="240" w:lineRule="auto"/>
        <w:ind w:firstLine="540"/>
        <w:jc w:val="both"/>
      </w:pPr>
      <w:r>
        <w:rPr>
          <w:sz w:val="24"/>
        </w:rPr>
        <w:t xml:space="preserve">62. Переоформление полиса осуществляется на основании заявления застрахованного лица или представителя (в том числе законного представителя) о переоформлении полиса (бланк которого размещается в соответствии с форматами информационного взаимодействия в сфере обязательного медицинского страхования, опубликованными на официальном сайте Федерального фонда в информационно-телекоммуникационной сети "Интернет") при предъявлении документа, удостоверяющего личность, и документов, подтверждающих изменения, подаваемого застрахованным лицом лично или через своего представителя (в том числе законного представителя) непосредственно в страховую медицинскую организацию (или иную организацию).</w:t>
      </w:r>
    </w:p>
    <w:p>
      <w:pPr>
        <w:pStyle w:val="0"/>
        <w:spacing w:before="240" w:lineRule="auto"/>
        <w:ind w:firstLine="540"/>
        <w:jc w:val="both"/>
      </w:pPr>
      <w:r>
        <w:rPr>
          <w:sz w:val="24"/>
        </w:rPr>
        <w:t xml:space="preserve">63. Заявление о переоформлении полиса должно содержать сведения, указанные в </w:t>
      </w:r>
      <w:hyperlink w:history="0" w:anchor="P61" w:tooltip="1) о застрахованном по обязательному медицинскому страхованию в соответствии с Федеральным законом лице:">
        <w:r>
          <w:rPr>
            <w:sz w:val="24"/>
            <w:color w:val="0000ff"/>
          </w:rPr>
          <w:t xml:space="preserve">подпунктах 1</w:t>
        </w:r>
      </w:hyperlink>
      <w:r>
        <w:rPr>
          <w:sz w:val="24"/>
        </w:rPr>
        <w:t xml:space="preserve"> - </w:t>
      </w:r>
      <w:hyperlink w:history="0" w:anchor="P85" w:tooltip="3) наименование страховой медицинской организации, выбранной застрахованным лицом;">
        <w:r>
          <w:rPr>
            <w:sz w:val="24"/>
            <w:color w:val="0000ff"/>
          </w:rPr>
          <w:t xml:space="preserve">3</w:t>
        </w:r>
      </w:hyperlink>
      <w:r>
        <w:rPr>
          <w:sz w:val="24"/>
        </w:rPr>
        <w:t xml:space="preserve"> и </w:t>
      </w:r>
      <w:hyperlink w:history="0" w:anchor="P87" w:tooltip="5) о намерении получить полис на материальном носителе (далее - выписка о полисе) (заполняется при обращении в страховую медицинскую организацию);">
        <w:r>
          <w:rPr>
            <w:sz w:val="24"/>
            <w:color w:val="0000ff"/>
          </w:rPr>
          <w:t xml:space="preserve">5 пункта 6</w:t>
        </w:r>
      </w:hyperlink>
      <w:r>
        <w:rPr>
          <w:sz w:val="24"/>
        </w:rPr>
        <w:t xml:space="preserve"> настоящих Правил, и подается в соответствии с </w:t>
      </w:r>
      <w:hyperlink w:history="0" w:anchor="P96" w:tooltip="10. Заявление о включении в единый регистр застрахованных лиц, заявление о выборе (замене) страховой медицинской организации, уведомление об изменении контактных данных подаются в следующих формах:">
        <w:r>
          <w:rPr>
            <w:sz w:val="24"/>
            <w:color w:val="0000ff"/>
          </w:rPr>
          <w:t xml:space="preserve">пунктом 10</w:t>
        </w:r>
      </w:hyperlink>
      <w:r>
        <w:rPr>
          <w:sz w:val="24"/>
        </w:rPr>
        <w:t xml:space="preserve"> настоящих Правил. Указанное заявление не подается посредством Единого портала государственных и муниципальных услуг (функций).</w:t>
      </w:r>
    </w:p>
    <w:p>
      <w:pPr>
        <w:pStyle w:val="0"/>
        <w:spacing w:before="240" w:lineRule="auto"/>
        <w:ind w:firstLine="540"/>
        <w:jc w:val="both"/>
      </w:pPr>
      <w:r>
        <w:rPr>
          <w:sz w:val="24"/>
        </w:rPr>
        <w:t xml:space="preserve">64. В день подачи заявления о переоформлении полиса застрахованным лицом или представителем (в том числе законным представителем) страховая медицинская организация, в которую было подано заявление о переоформлении полиса, обеспечивает направление его на рассмотрение в территориальный фонд для включения в единый регистр застрахованных лиц.</w:t>
      </w:r>
    </w:p>
    <w:p>
      <w:pPr>
        <w:pStyle w:val="0"/>
        <w:spacing w:before="240" w:lineRule="auto"/>
        <w:ind w:firstLine="540"/>
        <w:jc w:val="both"/>
      </w:pPr>
      <w:r>
        <w:rPr>
          <w:sz w:val="24"/>
        </w:rPr>
        <w:t xml:space="preserve">65. Застрахованные лица могут получить выписку о переоформленном полисе посредством Единого портала государственных и муниципальных услуг (функций) и сохранить на любой материальный носитель и/или запросить страховую медицинскую организацию выдать выписку о полисе, содержащую сведения о действующем полисе, в том числе штриховой код.</w:t>
      </w:r>
    </w:p>
    <w:p>
      <w:pPr>
        <w:pStyle w:val="0"/>
        <w:spacing w:before="240" w:lineRule="auto"/>
        <w:ind w:firstLine="540"/>
        <w:jc w:val="both"/>
      </w:pPr>
      <w:r>
        <w:rPr>
          <w:sz w:val="24"/>
        </w:rPr>
        <w:t xml:space="preserve">66. В случае утраты полиса на бланке выдача дубликата не производится. Застрахованное лицо или законный представитель может получить выписку о полисе посредством Единого портала государственных и муниципальных услуг (функций) и сохранить на любой материальный носитель и/или запросить страховую медицинскую организацию выдать выписку о полисе, содержащую сведения о действующем полисе, в том числе штриховой код.</w:t>
      </w:r>
    </w:p>
    <w:p>
      <w:pPr>
        <w:pStyle w:val="0"/>
        <w:spacing w:before="240" w:lineRule="auto"/>
        <w:ind w:firstLine="540"/>
        <w:jc w:val="both"/>
      </w:pPr>
      <w:r>
        <w:rPr>
          <w:sz w:val="24"/>
        </w:rPr>
        <w:t xml:space="preserve">67. Не позднее одного рабочего дня, следующего за днем подачи заявлений, указанных в </w:t>
      </w:r>
      <w:hyperlink w:history="0" w:anchor="P269" w:tooltip="56. В день подачи застрахованным лицом или представителем (в том числе законным представителем) заявления о выборе (замене) страховой медицинской организации и заявления о включении в единый регистр застрахованных лиц страховая медицинская организация (иная организация), в которую были поданы указанные заявления, направляет информацию в территориальный фонд в соответствии с порядком информационного взаимодействия в сфере обязательного медицинского страхования.">
        <w:r>
          <w:rPr>
            <w:sz w:val="24"/>
            <w:color w:val="0000ff"/>
          </w:rPr>
          <w:t xml:space="preserve">пунктах 56</w:t>
        </w:r>
      </w:hyperlink>
      <w:r>
        <w:rPr>
          <w:sz w:val="24"/>
        </w:rPr>
        <w:t xml:space="preserve">, </w:t>
      </w:r>
      <w:hyperlink w:history="0" w:anchor="P273" w:tooltip="60. В день подачи заявления о сдаче (утрате) полиса или заявления о приостановлении действия полиса страховая медицинская организация, в которую были поданы указанные заявления на бумажном носителе застрахованным лицом лично или представителем (в том числе законным представителем), обеспечивает внесение указанного заявления в единый регистр застрахованных лиц и направление его на рассмотрение в территориальный фонд.">
        <w:r>
          <w:rPr>
            <w:sz w:val="24"/>
            <w:color w:val="0000ff"/>
          </w:rPr>
          <w:t xml:space="preserve">60</w:t>
        </w:r>
      </w:hyperlink>
      <w:r>
        <w:rPr>
          <w:sz w:val="24"/>
        </w:rPr>
        <w:t xml:space="preserve"> и </w:t>
      </w:r>
      <w:hyperlink w:history="0" w:anchor="P279" w:tooltip="62. Переоформление полиса осуществляется на основании заявления застрахованного лица или представителя (в том числе законного представителя) о переоформлении полиса (бланк которого размещается в соответствии с форматами информационного взаимодействия в сфере обязательного медицинского страхования, опубликованными на официальном сайте Федерального фонда в информационно-телекоммуникационной сети &quot;Интернет&quot;) при предъявлении документа, удостоверяющего личность, и документов, подтверждающих изменения, подава...">
        <w:r>
          <w:rPr>
            <w:sz w:val="24"/>
            <w:color w:val="0000ff"/>
          </w:rPr>
          <w:t xml:space="preserve">62</w:t>
        </w:r>
      </w:hyperlink>
      <w:r>
        <w:rPr>
          <w:sz w:val="24"/>
        </w:rPr>
        <w:t xml:space="preserve"> настоящих Правил, территориальный фонд, получивший информацию от страховой медицинской организации, проводит форматно-логический контроль и осуществляет проверку в едином регистре застрахованных лиц на соответствие информации, включаемой в реестровые записи единого регистра застрахованных лиц, с иными сведениями единого регистра застрахованных лиц по:</w:t>
      </w:r>
    </w:p>
    <w:p>
      <w:pPr>
        <w:pStyle w:val="0"/>
        <w:spacing w:before="240" w:lineRule="auto"/>
        <w:ind w:firstLine="540"/>
        <w:jc w:val="both"/>
      </w:pPr>
      <w:r>
        <w:rPr>
          <w:sz w:val="24"/>
        </w:rPr>
        <w:t xml:space="preserve">1) фамилии, имени, отчеству (при наличии), дате и месту рождения застрахованного лица;</w:t>
      </w:r>
    </w:p>
    <w:p>
      <w:pPr>
        <w:pStyle w:val="0"/>
        <w:spacing w:before="240" w:lineRule="auto"/>
        <w:ind w:firstLine="540"/>
        <w:jc w:val="both"/>
      </w:pPr>
      <w:r>
        <w:rPr>
          <w:sz w:val="24"/>
        </w:rPr>
        <w:t xml:space="preserve">2) данным документа, удостоверяющего личность;</w:t>
      </w:r>
    </w:p>
    <w:p>
      <w:pPr>
        <w:pStyle w:val="0"/>
        <w:spacing w:before="240" w:lineRule="auto"/>
        <w:ind w:firstLine="540"/>
        <w:jc w:val="both"/>
      </w:pPr>
      <w:r>
        <w:rPr>
          <w:sz w:val="24"/>
        </w:rPr>
        <w:t xml:space="preserve">3) дате рождения, месту жительства и месту пребывания;</w:t>
      </w:r>
    </w:p>
    <w:p>
      <w:pPr>
        <w:pStyle w:val="0"/>
        <w:spacing w:before="240" w:lineRule="auto"/>
        <w:ind w:firstLine="540"/>
        <w:jc w:val="both"/>
      </w:pPr>
      <w:r>
        <w:rPr>
          <w:sz w:val="24"/>
        </w:rPr>
        <w:t xml:space="preserve">4) СНИЛС (при наличии).</w:t>
      </w:r>
    </w:p>
    <w:p>
      <w:pPr>
        <w:pStyle w:val="0"/>
        <w:spacing w:before="240" w:lineRule="auto"/>
        <w:ind w:firstLine="540"/>
        <w:jc w:val="both"/>
      </w:pPr>
      <w:r>
        <w:rPr>
          <w:sz w:val="24"/>
        </w:rPr>
        <w:t xml:space="preserve">Результат проверки направляется в страховую медицинскую организацию в соответствии с порядком информационного взаимодействия.</w:t>
      </w:r>
    </w:p>
    <w:bookmarkStart w:id="290" w:name="P290"/>
    <w:bookmarkEnd w:id="290"/>
    <w:p>
      <w:pPr>
        <w:pStyle w:val="0"/>
        <w:spacing w:before="240" w:lineRule="auto"/>
        <w:ind w:firstLine="540"/>
        <w:jc w:val="both"/>
      </w:pPr>
      <w:r>
        <w:rPr>
          <w:sz w:val="24"/>
        </w:rPr>
        <w:t xml:space="preserve">68. В случае выявления действующего полиса в едином регистре застрахованных лиц территориальный фонд в течение одного рабочего дня со дня получения заявления о включении в единый регистр застрахованных лиц, поданного одновременно с заявлением о выборе (замене) страховой медицинской организации в страховую медицинскую организацию, направляет в страховую медицинскую организацию сведения о выявленном действующем полисе.</w:t>
      </w:r>
    </w:p>
    <w:p>
      <w:pPr>
        <w:pStyle w:val="0"/>
        <w:spacing w:before="240" w:lineRule="auto"/>
        <w:ind w:firstLine="540"/>
        <w:jc w:val="both"/>
      </w:pPr>
      <w:r>
        <w:rPr>
          <w:sz w:val="24"/>
        </w:rPr>
        <w:t xml:space="preserve">69. Страховая медицинская организация в течение трех рабочих дней со дня получения сведений, указанных в </w:t>
      </w:r>
      <w:hyperlink w:history="0" w:anchor="P290" w:tooltip="68. В случае выявления действующего полиса в едином регистре застрахованных лиц территориальный фонд в течение одного рабочего дня со дня получения заявления о включении в единый регистр застрахованных лиц, поданного одновременно с заявлением о выборе (замене) страховой медицинской организации в страховую медицинскую организацию, направляет в страховую медицинскую организацию сведения о выявленном действующем полисе.">
        <w:r>
          <w:rPr>
            <w:sz w:val="24"/>
            <w:color w:val="0000ff"/>
          </w:rPr>
          <w:t xml:space="preserve">пункте 68</w:t>
        </w:r>
      </w:hyperlink>
      <w:r>
        <w:rPr>
          <w:sz w:val="24"/>
        </w:rPr>
        <w:t xml:space="preserve"> настоящих Правил, уведомляет застрахованное лицо либо представителя (в том числе законного представителя) об отказе во включении в единый регистр застрахованных лиц с указанием мотивов отказа.</w:t>
      </w:r>
    </w:p>
    <w:p>
      <w:pPr>
        <w:pStyle w:val="0"/>
        <w:spacing w:before="240" w:lineRule="auto"/>
        <w:ind w:firstLine="540"/>
        <w:jc w:val="both"/>
      </w:pPr>
      <w:r>
        <w:rPr>
          <w:sz w:val="24"/>
        </w:rPr>
        <w:t xml:space="preserve">70. В случае выявления действующего полиса в едином регистре застрахованных лиц территориальный фонд в течение одного рабочего дня со дня получения заявления о включении в единый регистр застрахованных лиц, в том числе поданного одновременно с заявлением о выборе (замене) страховой медицинской организации на официальный сайт, уведомляет застрахованное лицо либо представителя (в том числе законного представителя) о наличии действующего полиса и об отказе во включении в единый регистр застрахованных лиц с указанием мотивов отказа.</w:t>
      </w:r>
    </w:p>
    <w:p>
      <w:pPr>
        <w:pStyle w:val="0"/>
        <w:spacing w:before="240" w:lineRule="auto"/>
        <w:ind w:firstLine="540"/>
        <w:jc w:val="both"/>
      </w:pPr>
      <w:r>
        <w:rPr>
          <w:sz w:val="24"/>
        </w:rPr>
        <w:t xml:space="preserve">71. В случае отсутствия действующего полиса в едином регистре застрахованных лиц территориальный фонд включает сведения о застрахованном лице в единый регистр застрахованных лиц, за исключением лиц, указанных в </w:t>
      </w:r>
      <w:hyperlink w:history="0" r:id="rId70" w:tooltip="Федеральный закон от 29.11.2010 N 326-ФЗ (ред. от 20.02.2026) &quot;Об обязательном медицинском страховании в Российской Федерации&quot; {КонсультантПлюс}">
        <w:r>
          <w:rPr>
            <w:sz w:val="24"/>
            <w:color w:val="0000ff"/>
          </w:rPr>
          <w:t xml:space="preserve">части 1.1 статьи 10</w:t>
        </w:r>
      </w:hyperlink>
      <w:r>
        <w:rPr>
          <w:sz w:val="24"/>
        </w:rPr>
        <w:t xml:space="preserve"> Федерального закона, не приобретших право на обязательное медицинское страхование в соответствии с </w:t>
      </w:r>
      <w:hyperlink w:history="0" w:anchor="P198" w:tooltip="22. Определение трехлетнего периода уплаты страховых взносов за лицо, указанное в пункте 21 настоящих Правил, осуществляется в соответствии со сроками предоставления сведений о работающих застрахованных лицах, предусмотренных частью 2 статьи 49 Федерального закона в следующем порядке:">
        <w:r>
          <w:rPr>
            <w:sz w:val="24"/>
            <w:color w:val="0000ff"/>
          </w:rPr>
          <w:t xml:space="preserve">пунктом 22</w:t>
        </w:r>
      </w:hyperlink>
      <w:r>
        <w:rPr>
          <w:sz w:val="24"/>
        </w:rPr>
        <w:t xml:space="preserve"> настоящих Правил.</w:t>
      </w:r>
    </w:p>
    <w:p>
      <w:pPr>
        <w:pStyle w:val="0"/>
        <w:spacing w:before="240" w:lineRule="auto"/>
        <w:ind w:firstLine="540"/>
        <w:jc w:val="both"/>
      </w:pPr>
      <w:r>
        <w:rPr>
          <w:sz w:val="24"/>
        </w:rPr>
        <w:t xml:space="preserve">72. Территориальный фонд в течение одного рабочего дня со дня формирования реестровой записи единого регистра застрахованных лиц информирует о формировании полиса страховую медицинскую организацию, принявшую заявление в соответствии с </w:t>
      </w:r>
      <w:hyperlink w:history="0" w:anchor="P269" w:tooltip="56. В день подачи застрахованным лицом или представителем (в том числе законным представителем) заявления о выборе (замене) страховой медицинской организации и заявления о включении в единый регистр застрахованных лиц страховая медицинская организация (иная организация), в которую были поданы указанные заявления, направляет информацию в территориальный фонд в соответствии с порядком информационного взаимодействия в сфере обязательного медицинского страхования.">
        <w:r>
          <w:rPr>
            <w:sz w:val="24"/>
            <w:color w:val="0000ff"/>
          </w:rPr>
          <w:t xml:space="preserve">пунктом 56</w:t>
        </w:r>
      </w:hyperlink>
      <w:r>
        <w:rPr>
          <w:sz w:val="24"/>
        </w:rPr>
        <w:t xml:space="preserve"> настоящих Правил.</w:t>
      </w:r>
    </w:p>
    <w:p>
      <w:pPr>
        <w:pStyle w:val="0"/>
        <w:spacing w:before="240" w:lineRule="auto"/>
        <w:ind w:firstLine="540"/>
        <w:jc w:val="both"/>
      </w:pPr>
      <w:r>
        <w:rPr>
          <w:sz w:val="24"/>
        </w:rPr>
        <w:t xml:space="preserve">73. В случае выявления факта замены застрахованным лицом страховой медицинской организации чаще чем один раз в течение календарного года, не связанное с изменением места жительства или с прекращением действия договора о финансовом обеспечении, предусмотренным настоящими Правилами, страховая медицинская организация в течение одного рабочего дня со дня получения указанных сведений уведомляет застрахованное лицо либо представителя (в том числе законного представителя), подавшего заявление в соответствии с </w:t>
      </w:r>
      <w:hyperlink w:history="0" w:anchor="P270" w:tooltip="57. Страховая медицинская организация, выбранная застрахованным лицом при осуществлении замены страховой медицинской организации на основании заявления о выборе (замене) страховой медицинской организации, не позднее одного рабочего дня, следующего за днем обращения застрахованного лица с заявлением, направляет информацию в территориальный фонд в соответствии с порядком информационного взаимодействия.">
        <w:r>
          <w:rPr>
            <w:sz w:val="24"/>
            <w:color w:val="0000ff"/>
          </w:rPr>
          <w:t xml:space="preserve">пунктом 57</w:t>
        </w:r>
      </w:hyperlink>
      <w:r>
        <w:rPr>
          <w:sz w:val="24"/>
        </w:rPr>
        <w:t xml:space="preserve"> настоящих Правил, об отказе в замене страховой медицинской организации с указанием мотивов отказа.</w:t>
      </w:r>
    </w:p>
    <w:p>
      <w:pPr>
        <w:pStyle w:val="0"/>
        <w:spacing w:before="240" w:lineRule="auto"/>
        <w:ind w:firstLine="540"/>
        <w:jc w:val="both"/>
      </w:pPr>
      <w:r>
        <w:rPr>
          <w:sz w:val="24"/>
        </w:rPr>
        <w:t xml:space="preserve">74. В случае замены застрахованным лицом страховой медицинской организации не чаще, чем один раз в течение календарного года, или замены страховой медицинской организации, связанной с изменением места жительства застрахованного лица или по причине прекращения действия договора о финансовом обеспечении, предусмотренного настоящими Правилами, территориальный фонд обеспечивает обработку заявления, направленного в соответствии с </w:t>
      </w:r>
      <w:hyperlink w:history="0" w:anchor="P270" w:tooltip="57. Страховая медицинская организация, выбранная застрахованным лицом при осуществлении замены страховой медицинской организации на основании заявления о выборе (замене) страховой медицинской организации, не позднее одного рабочего дня, следующего за днем обращения застрахованного лица с заявлением, направляет информацию в территориальный фонд в соответствии с порядком информационного взаимодействия.">
        <w:r>
          <w:rPr>
            <w:sz w:val="24"/>
            <w:color w:val="0000ff"/>
          </w:rPr>
          <w:t xml:space="preserve">пунктом 57</w:t>
        </w:r>
      </w:hyperlink>
      <w:r>
        <w:rPr>
          <w:sz w:val="24"/>
        </w:rPr>
        <w:t xml:space="preserve"> настоящих Правил, не позднее одного рабочего дня со дня его получения.</w:t>
      </w:r>
    </w:p>
    <w:p>
      <w:pPr>
        <w:pStyle w:val="0"/>
        <w:spacing w:before="240" w:lineRule="auto"/>
        <w:ind w:firstLine="540"/>
        <w:jc w:val="both"/>
      </w:pPr>
      <w:r>
        <w:rPr>
          <w:sz w:val="24"/>
        </w:rPr>
        <w:t xml:space="preserve">75. В случае отсутствия в представленных в соответствии с </w:t>
      </w:r>
      <w:hyperlink w:history="0" w:anchor="P279" w:tooltip="62. Переоформление полиса осуществляется на основании заявления застрахованного лица или представителя (в том числе законного представителя) о переоформлении полиса (бланк которого размещается в соответствии с форматами информационного взаимодействия в сфере обязательного медицинского страхования, опубликованными на официальном сайте Федерального фонда в информационно-телекоммуникационной сети &quot;Интернет&quot;) при предъявлении документа, удостоверяющего личность, и документов, подтверждающих изменения, подава...">
        <w:r>
          <w:rPr>
            <w:sz w:val="24"/>
            <w:color w:val="0000ff"/>
          </w:rPr>
          <w:t xml:space="preserve">пунктом 62</w:t>
        </w:r>
      </w:hyperlink>
      <w:r>
        <w:rPr>
          <w:sz w:val="24"/>
        </w:rPr>
        <w:t xml:space="preserve"> настоящих Правил заявлениях противоречащей информации сведениям, содержащимся в едином регистре застрахованных лиц, территориальный фонд в течение одного рабочего дня со дня получения указанных сведений вносит изменения персонифицированных данных в единый регистр застрахованных лиц.</w:t>
      </w:r>
    </w:p>
    <w:p>
      <w:pPr>
        <w:pStyle w:val="0"/>
        <w:spacing w:before="240" w:lineRule="auto"/>
        <w:ind w:firstLine="540"/>
        <w:jc w:val="both"/>
      </w:pPr>
      <w:r>
        <w:rPr>
          <w:sz w:val="24"/>
        </w:rPr>
        <w:t xml:space="preserve">76. Федеральный фонд в целях формирования полиса обеспечивает внесение в единый регистр застрахованных лиц сведений, получаемых в рамках межведомственного информационного взаимодействия в соответствии с порядком ведения персонифицированного учета в сфере обязательного медицинского страхования &lt;11&gt; (далее - порядок ведения персонифицированного учета).</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&lt;11&gt; </w:t>
      </w:r>
      <w:hyperlink w:history="0" r:id="rId71" w:tooltip="Постановление Правительства РФ от 05.11.2022 N 1998 &quot;Об утверждении Правил ведения персонифицированного учета в сфере обязательного медицинского страхования&quot; {КонсультантПлюс}">
        <w:r>
          <w:rPr>
            <w:sz w:val="24"/>
            <w:color w:val="0000ff"/>
          </w:rPr>
          <w:t xml:space="preserve">Постановление</w:t>
        </w:r>
      </w:hyperlink>
      <w:r>
        <w:rPr>
          <w:sz w:val="24"/>
        </w:rPr>
        <w:t xml:space="preserve"> Правительства Российской Федерации от 5 ноября 2022 г. N 1998 "Об утверждении Правил ведения персонифицированного учета в сфере обязательного медицинского страхования".</w:t>
      </w:r>
    </w:p>
    <w:p>
      <w:pPr>
        <w:pStyle w:val="0"/>
        <w:jc w:val="both"/>
      </w:pPr>
      <w:r>
        <w:rPr>
          <w:sz w:val="24"/>
        </w:rPr>
      </w:r>
    </w:p>
    <w:p>
      <w:pPr>
        <w:pStyle w:val="0"/>
        <w:ind w:firstLine="540"/>
        <w:jc w:val="both"/>
      </w:pPr>
      <w:r>
        <w:rPr>
          <w:sz w:val="24"/>
        </w:rPr>
        <w:t xml:space="preserve">77. Поданные застрахованным лицом или законным представителем заявление о включении в единый регистр застрахованных лиц и заявление о выборе (замене) страховой медицинской организации в форме электронного документа посредством Единого портала государственных и муниципальных услуг (функций) передаются на рассмотрение в единый регистр застрахованных лиц.</w:t>
      </w:r>
    </w:p>
    <w:p>
      <w:pPr>
        <w:pStyle w:val="0"/>
        <w:spacing w:before="240" w:lineRule="auto"/>
        <w:ind w:firstLine="540"/>
        <w:jc w:val="both"/>
      </w:pPr>
      <w:r>
        <w:rPr>
          <w:sz w:val="24"/>
        </w:rPr>
        <w:t xml:space="preserve">78. Федеральный фонд не позднее одного рабочего дня, следующего за днем получения сведений с Единого портала государственных и муниципальных услуг (функций), обеспечивает их загрузку в единый регистр застрахованных лиц.</w:t>
      </w:r>
    </w:p>
    <w:p>
      <w:pPr>
        <w:pStyle w:val="0"/>
        <w:spacing w:before="240" w:lineRule="auto"/>
        <w:ind w:firstLine="540"/>
        <w:jc w:val="both"/>
      </w:pPr>
      <w:r>
        <w:rPr>
          <w:sz w:val="24"/>
        </w:rPr>
        <w:t xml:space="preserve">79. В территориальных фондах, страховых медицинских организациях (иных организациях) приказом руководителя организации определяется круг лиц, имеющих доступ к персональным данным, необходимым для ведения персонифицированного учета в сфере обязательного медицинского страхования.</w:t>
      </w:r>
    </w:p>
    <w:p>
      <w:pPr>
        <w:pStyle w:val="0"/>
        <w:spacing w:before="240" w:lineRule="auto"/>
        <w:ind w:firstLine="540"/>
        <w:jc w:val="both"/>
      </w:pPr>
      <w:r>
        <w:rPr>
          <w:sz w:val="24"/>
        </w:rPr>
        <w:t xml:space="preserve">80. Прием заявления о выборе (замене) страховой медицинской организации, заявления о включении в единый регистр застрахованных лиц, заявления о переоформлении полиса, заявления о сдаче (утрате) полиса на материальном носителе и заявления о приостановлении действия полиса, поданных на бумажном носителе застрахованными лицами лично или через представителя (в том числе законного представителя), осуществляется в предназначенных для этих целей помещениях (пунктах выдачи), в том числе мобильных, организованных на территории субъекта Российской Федерации страховыми медицинскими организациями, имеющими лицензию на осуществление страхования по виду деятельности - обязательное медицинское страхование на территории данного субъекта Российской Федерации, либо иными организациями.</w:t>
      </w:r>
    </w:p>
    <w:p>
      <w:pPr>
        <w:pStyle w:val="0"/>
        <w:spacing w:before="240" w:lineRule="auto"/>
        <w:ind w:firstLine="540"/>
        <w:jc w:val="both"/>
      </w:pPr>
      <w:r>
        <w:rPr>
          <w:sz w:val="24"/>
        </w:rPr>
        <w:t xml:space="preserve">Для передвижения лиц с ограниченными возможностями, включая инвалидов, помещения (пункты выдачи) оборудуются пандусами, специальными ограждениями и перилами, обеспечивающими беспрепятственное передвижение, в том числе с использованием инвалидных колясок. Инвалидам с нарушением слуха и (или) речи, инвалидам по зрению и другим гражданам с ограниченными возможностями при необходимости оказывается соответствующая помощь.</w:t>
      </w:r>
    </w:p>
    <w:p>
      <w:pPr>
        <w:pStyle w:val="0"/>
        <w:spacing w:before="240" w:lineRule="auto"/>
        <w:ind w:firstLine="540"/>
        <w:jc w:val="both"/>
      </w:pPr>
      <w:r>
        <w:rPr>
          <w:sz w:val="24"/>
        </w:rPr>
        <w:t xml:space="preserve">81. Страховые медицинские организации (иные организации) могут организовать прием указанных в настоящем пункте заявлений в месте непосредственного нахождения застрахованного лица.</w:t>
      </w:r>
    </w:p>
    <w:p>
      <w:pPr>
        <w:pStyle w:val="0"/>
        <w:spacing w:before="240" w:lineRule="auto"/>
        <w:ind w:firstLine="540"/>
        <w:jc w:val="both"/>
      </w:pPr>
      <w:r>
        <w:rPr>
          <w:sz w:val="24"/>
        </w:rPr>
        <w:t xml:space="preserve">82. Страховые медицинские организации (иные организации) при подаче застрахованным лицом или представителем (в том числе законным представителем) заявления о включении в единый регистр застрахованных лиц и заявления о выборе (замене) страховой медицинской организации на бумажном носителе, а также при получении сведений о застрахованном лице, указанном в </w:t>
      </w:r>
      <w:hyperlink w:history="0" r:id="rId72" w:tooltip="Федеральный закон от 29.11.2010 N 326-ФЗ (ред. от 20.02.2026) &quot;Об обязательном медицинском страховании в Российской Федерации&quot; {КонсультантПлюс}">
        <w:r>
          <w:rPr>
            <w:sz w:val="24"/>
            <w:color w:val="0000ff"/>
          </w:rPr>
          <w:t xml:space="preserve">части 6 статьи 16</w:t>
        </w:r>
      </w:hyperlink>
      <w:r>
        <w:rPr>
          <w:sz w:val="24"/>
        </w:rPr>
        <w:t xml:space="preserve"> Федерального закона:</w:t>
      </w:r>
    </w:p>
    <w:p>
      <w:pPr>
        <w:pStyle w:val="0"/>
        <w:spacing w:before="240" w:lineRule="auto"/>
        <w:ind w:firstLine="540"/>
        <w:jc w:val="both"/>
      </w:pPr>
      <w:r>
        <w:rPr>
          <w:sz w:val="24"/>
        </w:rPr>
        <w:t xml:space="preserve">1) информируют застрахованное лицо в течение трех рабочих дней со дня получения сведений из территориального фонда о факте страхования и возможности получения выписки о полисе, содержащей, в том числе штриховой код, или внесения изменений в бланк полиса по видам связи для информирования, указанным застрахованным лицом в заявлении о включении в единый регистр застрахованных лиц и заявлении о выборе (замене) страховой медицинской организации;</w:t>
      </w:r>
    </w:p>
    <w:p>
      <w:pPr>
        <w:pStyle w:val="0"/>
        <w:spacing w:before="240" w:lineRule="auto"/>
        <w:ind w:firstLine="540"/>
        <w:jc w:val="both"/>
      </w:pPr>
      <w:r>
        <w:rPr>
          <w:sz w:val="24"/>
        </w:rPr>
        <w:t xml:space="preserve">2) обеспечивают по запросу застрахованного лица или представителя (в том числе законного представителя) выдачу выписки о полисе, содержащей, в том числе штриховой код, или внесение изменений в бланк полиса в соответствии с порядком, предусмотренным настоящими Правилами;</w:t>
      </w:r>
    </w:p>
    <w:p>
      <w:pPr>
        <w:pStyle w:val="0"/>
        <w:spacing w:before="240" w:lineRule="auto"/>
        <w:ind w:firstLine="540"/>
        <w:jc w:val="both"/>
      </w:pPr>
      <w:r>
        <w:rPr>
          <w:sz w:val="24"/>
        </w:rPr>
        <w:t xml:space="preserve">3) предоставляют информацию о правах и обязанностях застрахованных лиц в сфере обязательного медицинского страхования, о порядке информационного сопровождения на всех этапах оказания им медицинской помощи, а также контактные телефоны территориального фонда и страховой медицинской организации, оформивших полис.</w:t>
      </w:r>
    </w:p>
    <w:bookmarkStart w:id="312" w:name="P312"/>
    <w:bookmarkEnd w:id="312"/>
    <w:p>
      <w:pPr>
        <w:pStyle w:val="0"/>
        <w:spacing w:before="240" w:lineRule="auto"/>
        <w:ind w:firstLine="540"/>
        <w:jc w:val="both"/>
      </w:pPr>
      <w:r>
        <w:rPr>
          <w:sz w:val="24"/>
        </w:rPr>
        <w:t xml:space="preserve">83. В соответствии с </w:t>
      </w:r>
      <w:hyperlink w:history="0" r:id="rId73" w:tooltip="Федеральный закон от 29.11.2010 N 326-ФЗ (ред. от 20.02.2026) &quot;Об обязательном медицинском страховании в Российской Федерации&quot; {КонсультантПлюс}">
        <w:r>
          <w:rPr>
            <w:sz w:val="24"/>
            <w:color w:val="0000ff"/>
          </w:rPr>
          <w:t xml:space="preserve">частью 8 статьи 49</w:t>
        </w:r>
      </w:hyperlink>
      <w:r>
        <w:rPr>
          <w:sz w:val="24"/>
        </w:rPr>
        <w:t xml:space="preserve"> Федерального закона военные комиссариаты передают в территориальные фонды сведения о призванных на военную службу гражданах, предусмотренные </w:t>
      </w:r>
      <w:hyperlink w:history="0" r:id="rId74" w:tooltip="Федеральный закон от 29.11.2010 N 326-ФЗ (ред. от 20.02.2026) &quot;Об обязательном медицинском страховании в Российской Федерации&quot; {КонсультантПлюс}">
        <w:r>
          <w:rPr>
            <w:sz w:val="24"/>
            <w:color w:val="0000ff"/>
          </w:rPr>
          <w:t xml:space="preserve">пунктами 1</w:t>
        </w:r>
      </w:hyperlink>
      <w:r>
        <w:rPr>
          <w:sz w:val="24"/>
        </w:rPr>
        <w:t xml:space="preserve"> и </w:t>
      </w:r>
      <w:hyperlink w:history="0" r:id="rId75" w:tooltip="Федеральный закон от 29.11.2010 N 326-ФЗ (ред. от 20.02.2026) &quot;Об обязательном медицинском страховании в Российской Федерации&quot; {КонсультантПлюс}">
        <w:r>
          <w:rPr>
            <w:sz w:val="24"/>
            <w:color w:val="0000ff"/>
          </w:rPr>
          <w:t xml:space="preserve">6 части 2 статьи 44</w:t>
        </w:r>
      </w:hyperlink>
      <w:r>
        <w:rPr>
          <w:sz w:val="24"/>
        </w:rPr>
        <w:t xml:space="preserve"> Федерального закона, и информацию о начале, сроке и окончании военной службы.</w:t>
      </w:r>
    </w:p>
    <w:p>
      <w:pPr>
        <w:pStyle w:val="0"/>
        <w:spacing w:before="240" w:lineRule="auto"/>
        <w:ind w:firstLine="540"/>
        <w:jc w:val="both"/>
      </w:pPr>
      <w:r>
        <w:rPr>
          <w:sz w:val="24"/>
        </w:rPr>
        <w:t xml:space="preserve">84. Территориальный фонд приостанавливает действие полиса лиц, застрахованных в субъекте Российской Федерации, на указанный срок военной службы со дня получения данных сведений территориальным фондом и обеспечивает отражение сведений, указанных в </w:t>
      </w:r>
      <w:hyperlink w:history="0" w:anchor="P312" w:tooltip="83. В соответствии с частью 8 статьи 49 Федерального закона военные комиссариаты передают в территориальные фонды сведения о призванных на военную службу гражданах, предусмотренные пунктами 1 и 6 части 2 статьи 44 Федерального закона, и информацию о начале, сроке и окончании военной службы.">
        <w:r>
          <w:rPr>
            <w:sz w:val="24"/>
            <w:color w:val="0000ff"/>
          </w:rPr>
          <w:t xml:space="preserve">пункте 83</w:t>
        </w:r>
      </w:hyperlink>
      <w:r>
        <w:rPr>
          <w:sz w:val="24"/>
        </w:rPr>
        <w:t xml:space="preserve"> настоящих Правил, в едином регистре застрахованных лиц в соответствии с порядком ведения персонифицированного учета.</w:t>
      </w:r>
    </w:p>
    <w:p>
      <w:pPr>
        <w:pStyle w:val="0"/>
        <w:spacing w:before="240" w:lineRule="auto"/>
        <w:ind w:firstLine="540"/>
        <w:jc w:val="both"/>
      </w:pPr>
      <w:r>
        <w:rPr>
          <w:sz w:val="24"/>
        </w:rPr>
        <w:t xml:space="preserve">85. Страховая медицинская организация, принявшая от застрахованного лица, указанного в </w:t>
      </w:r>
      <w:hyperlink w:history="0" r:id="rId76" w:tooltip="Федеральный закон от 29.11.2010 N 326-ФЗ (ред. от 20.02.2026) &quot;Об обязательном медицинском страховании в Российской Федерации&quot; {КонсультантПлюс}">
        <w:r>
          <w:rPr>
            <w:sz w:val="24"/>
            <w:color w:val="0000ff"/>
          </w:rPr>
          <w:t xml:space="preserve">части 1 статьи 49.1</w:t>
        </w:r>
      </w:hyperlink>
      <w:r>
        <w:rPr>
          <w:sz w:val="24"/>
        </w:rPr>
        <w:t xml:space="preserve"> Федерального закона (за исключением проходящих военную службу по призыву), заявление о сдаче (утрате) полиса на материальном носителе или заявление о приостановлении действия полиса, не позднее одного рабочего дня, следующего за днем обращения застрахованного лица с указанными заявлениями, передает сведения о застрахованном лице, указанные в </w:t>
      </w:r>
      <w:hyperlink w:history="0" w:anchor="P214" w:tooltip="33. В соответствии с частью 3 статьи 49.1 Федерального закона граждане Российской Федерации, указанные в части 1 статьи 49.1 Федерального закона (за исключением проходящих военную службу по призыву), обязаны сдать полис на материальном носителе (при наличии) или сообщить о его утрате путем подачи заявления о сдаче (утрате) полиса на материальном носителе или заявления о приостановлении действия полиса одним из способов, выбранным застрахованным лицом:">
        <w:r>
          <w:rPr>
            <w:sz w:val="24"/>
            <w:color w:val="0000ff"/>
          </w:rPr>
          <w:t xml:space="preserve">пункте 33</w:t>
        </w:r>
      </w:hyperlink>
      <w:r>
        <w:rPr>
          <w:sz w:val="24"/>
        </w:rPr>
        <w:t xml:space="preserve"> настоящих Правил, в территориальный фонд.</w:t>
      </w:r>
    </w:p>
    <w:p>
      <w:pPr>
        <w:pStyle w:val="0"/>
        <w:spacing w:before="240" w:lineRule="auto"/>
        <w:ind w:firstLine="540"/>
        <w:jc w:val="both"/>
      </w:pPr>
      <w:r>
        <w:rPr>
          <w:sz w:val="24"/>
        </w:rPr>
        <w:t xml:space="preserve">86. Территориальный фонд приостанавливает действие полиса лиц, застрахованных в субъекте Российской Федерации, со дня получения территориальным фондом сведений, указанных в </w:t>
      </w:r>
      <w:hyperlink w:history="0" w:anchor="P214" w:tooltip="33. В соответствии с частью 3 статьи 49.1 Федерального закона граждане Российской Федерации, указанные в части 1 статьи 49.1 Федерального закона (за исключением проходящих военную службу по призыву), обязаны сдать полис на материальном носителе (при наличии) или сообщить о его утрате путем подачи заявления о сдаче (утрате) полиса на материальном носителе или заявления о приостановлении действия полиса одним из способов, выбранным застрахованным лицом:">
        <w:r>
          <w:rPr>
            <w:sz w:val="24"/>
            <w:color w:val="0000ff"/>
          </w:rPr>
          <w:t xml:space="preserve">пункте 33</w:t>
        </w:r>
      </w:hyperlink>
      <w:r>
        <w:rPr>
          <w:sz w:val="24"/>
        </w:rPr>
        <w:t xml:space="preserve"> настоящих Правил, и обеспечивает отражение данных сведений в едином регистре застрахованных лиц.</w:t>
      </w:r>
    </w:p>
    <w:p>
      <w:pPr>
        <w:pStyle w:val="0"/>
        <w:spacing w:before="240" w:lineRule="auto"/>
        <w:ind w:firstLine="540"/>
        <w:jc w:val="both"/>
      </w:pPr>
      <w:r>
        <w:rPr>
          <w:sz w:val="24"/>
        </w:rPr>
        <w:t xml:space="preserve">87. В день подачи заявления о сдаче (утрате) полиса на материальном носителе или заявления о приостановлении действия полиса в форме электронного документа посредством Единого портала государственных и муниципальных услуг (функций) Федеральный фонд осуществляет проверку на наличие у застрахованного лица полиса и обеспечивает внесение сведений о застрахованном лице в единый регистр застрахованных лиц.</w:t>
      </w:r>
    </w:p>
    <w:p>
      <w:pPr>
        <w:pStyle w:val="0"/>
        <w:spacing w:before="240" w:lineRule="auto"/>
        <w:ind w:firstLine="540"/>
        <w:jc w:val="both"/>
      </w:pPr>
      <w:r>
        <w:rPr>
          <w:sz w:val="24"/>
        </w:rPr>
        <w:t xml:space="preserve">88. Не позднее одного рабочего дня, следующего за днем подачи заявления о приостановлении действия полиса в личном кабинете гражданина на Едином портале государственных и муниципальных услуг (функций), ему направляется уведомление о приостановлении действия полиса.</w:t>
      </w:r>
    </w:p>
    <w:bookmarkStart w:id="318" w:name="P318"/>
    <w:bookmarkEnd w:id="318"/>
    <w:p>
      <w:pPr>
        <w:pStyle w:val="0"/>
        <w:spacing w:before="240" w:lineRule="auto"/>
        <w:ind w:firstLine="540"/>
        <w:jc w:val="both"/>
      </w:pPr>
      <w:r>
        <w:rPr>
          <w:sz w:val="24"/>
        </w:rPr>
        <w:t xml:space="preserve">89. Федеральный фонд обеспечивает внесение в единый регистр застрахованных лиц следующих сведений, получаемых в рамках межведомственного информационного взаимодействия, используемых в качестве основания признания полиса недействительным в рамках ведения персонифицированного учета:</w:t>
      </w:r>
    </w:p>
    <w:p>
      <w:pPr>
        <w:pStyle w:val="0"/>
        <w:spacing w:before="240" w:lineRule="auto"/>
        <w:ind w:firstLine="540"/>
        <w:jc w:val="both"/>
      </w:pPr>
      <w:r>
        <w:rPr>
          <w:sz w:val="24"/>
        </w:rPr>
        <w:t xml:space="preserve">1) ежеквартально в течение 15 рабочих дней со дня получения сведений, предоставляемых федеральным органом исполнительной власти в сфере внутренних дел ежеквартально не позднее 15-го числа месяца, следующего за отчетным периодом, в соответствии с </w:t>
      </w:r>
      <w:hyperlink w:history="0" r:id="rId77" w:tooltip="Федеральный закон от 29.11.2010 N 326-ФЗ (ред. от 20.02.2026) &quot;Об обязательном медицинском страховании в Российской Федерации&quot; {КонсультантПлюс}">
        <w:r>
          <w:rPr>
            <w:sz w:val="24"/>
            <w:color w:val="0000ff"/>
          </w:rPr>
          <w:t xml:space="preserve">частью 6 статьи 49</w:t>
        </w:r>
      </w:hyperlink>
      <w:r>
        <w:rPr>
          <w:sz w:val="24"/>
        </w:rPr>
        <w:t xml:space="preserve"> Федерального закона:</w:t>
      </w:r>
    </w:p>
    <w:p>
      <w:pPr>
        <w:pStyle w:val="0"/>
        <w:spacing w:before="240" w:lineRule="auto"/>
        <w:ind w:firstLine="540"/>
        <w:jc w:val="both"/>
      </w:pPr>
      <w:r>
        <w:rPr>
          <w:sz w:val="24"/>
        </w:rPr>
        <w:t xml:space="preserve">о лицах, гражданство Российской Федерации которых прекращено;</w:t>
      </w:r>
    </w:p>
    <w:p>
      <w:pPr>
        <w:pStyle w:val="0"/>
        <w:spacing w:before="240" w:lineRule="auto"/>
        <w:ind w:firstLine="540"/>
        <w:jc w:val="both"/>
      </w:pPr>
      <w:r>
        <w:rPr>
          <w:sz w:val="24"/>
        </w:rPr>
        <w:t xml:space="preserve">об иностранных гражданах, лицах без гражданства, в отношении которых аннулирован вид на жительство в соответствии с Федеральным </w:t>
      </w:r>
      <w:hyperlink w:history="0" r:id="rId78" w:tooltip="Федеральный закон от 25.07.2002 N 115-ФЗ (ред. от 26.06.2026) &quot;О правовом положении иностранных граждан в Российской Федерации&quot; {КонсультантПлюс}">
        <w:r>
          <w:rPr>
            <w:sz w:val="24"/>
            <w:color w:val="0000ff"/>
          </w:rPr>
          <w:t xml:space="preserve">законом</w:t>
        </w:r>
      </w:hyperlink>
      <w:r>
        <w:rPr>
          <w:sz w:val="24"/>
        </w:rPr>
        <w:t xml:space="preserve"> N 115-ФЗ;</w:t>
      </w:r>
    </w:p>
    <w:p>
      <w:pPr>
        <w:pStyle w:val="0"/>
        <w:spacing w:before="240" w:lineRule="auto"/>
        <w:ind w:firstLine="540"/>
        <w:jc w:val="both"/>
      </w:pPr>
      <w:r>
        <w:rPr>
          <w:sz w:val="24"/>
        </w:rPr>
        <w:t xml:space="preserve">об иностранных гражданах, лицах без гражданства, в отношении которых аннулировано разрешение на временное проживание в соответствии с Федеральным </w:t>
      </w:r>
      <w:hyperlink w:history="0" r:id="rId79" w:tooltip="Федеральный закон от 25.07.2002 N 115-ФЗ (ред. от 26.06.2026) &quot;О правовом положении иностранных граждан в Российской Федерации&quot; {КонсультантПлюс}">
        <w:r>
          <w:rPr>
            <w:sz w:val="24"/>
            <w:color w:val="0000ff"/>
          </w:rPr>
          <w:t xml:space="preserve">законом</w:t>
        </w:r>
      </w:hyperlink>
      <w:r>
        <w:rPr>
          <w:sz w:val="24"/>
        </w:rPr>
        <w:t xml:space="preserve"> N 115-ФЗ;</w:t>
      </w:r>
    </w:p>
    <w:p>
      <w:pPr>
        <w:pStyle w:val="0"/>
        <w:spacing w:before="240" w:lineRule="auto"/>
        <w:ind w:firstLine="540"/>
        <w:jc w:val="both"/>
      </w:pPr>
      <w:r>
        <w:rPr>
          <w:sz w:val="24"/>
        </w:rPr>
        <w:t xml:space="preserve">о лицах, признанных беженцами, при утрате ими статуса беженца или лишении их статуса беженца в соответствии с Федеральным </w:t>
      </w:r>
      <w:hyperlink w:history="0" r:id="rId80" w:tooltip="Федеральный закон от 19.02.1993 N 4528-1 (ред. от 23.07.2025) &quot;О беженцах&quot; {КонсультантПлюс}">
        <w:r>
          <w:rPr>
            <w:sz w:val="24"/>
            <w:color w:val="0000ff"/>
          </w:rPr>
          <w:t xml:space="preserve">законом</w:t>
        </w:r>
      </w:hyperlink>
      <w:r>
        <w:rPr>
          <w:sz w:val="24"/>
        </w:rPr>
        <w:t xml:space="preserve"> "О беженцах";</w:t>
      </w:r>
    </w:p>
    <w:p>
      <w:pPr>
        <w:pStyle w:val="0"/>
        <w:spacing w:before="240" w:lineRule="auto"/>
        <w:ind w:firstLine="540"/>
        <w:jc w:val="both"/>
      </w:pPr>
      <w:r>
        <w:rPr>
          <w:sz w:val="24"/>
        </w:rPr>
        <w:t xml:space="preserve">2) ежедневно в течение 1 рабочего дня со дня получения сведений, предоставляемых Фондом пенсионного и социального страхования Российской Федерации:</w:t>
      </w:r>
    </w:p>
    <w:p>
      <w:pPr>
        <w:pStyle w:val="0"/>
        <w:spacing w:before="240" w:lineRule="auto"/>
        <w:ind w:firstLine="540"/>
        <w:jc w:val="both"/>
      </w:pPr>
      <w:r>
        <w:rPr>
          <w:sz w:val="24"/>
        </w:rPr>
        <w:t xml:space="preserve">об изменении статуса (работающий, неработающий) в отношении лиц, указанных в </w:t>
      </w:r>
      <w:hyperlink w:history="0" r:id="rId81" w:tooltip="Федеральный закон от 29.11.2010 N 326-ФЗ (ред. от 20.02.2026) &quot;Об обязательном медицинском страховании в Российской Федерации&quot; {КонсультантПлюс}">
        <w:r>
          <w:rPr>
            <w:sz w:val="24"/>
            <w:color w:val="0000ff"/>
          </w:rPr>
          <w:t xml:space="preserve">части 1.1 статьи 10</w:t>
        </w:r>
      </w:hyperlink>
      <w:r>
        <w:rPr>
          <w:sz w:val="24"/>
        </w:rPr>
        <w:t xml:space="preserve"> Федерального закона, данных о фактах, начала и окончания ими трудовых отношений (действия договоров гражданско-правового характера), поступающих в соответствии с </w:t>
      </w:r>
      <w:hyperlink w:history="0" r:id="rId82" w:tooltip="Федеральный закон от 29.11.2010 N 326-ФЗ (ред. от 20.02.2026) &quot;Об обязательном медицинском страховании в Российской Федерации&quot; {КонсультантПлюс}">
        <w:r>
          <w:rPr>
            <w:sz w:val="24"/>
            <w:color w:val="0000ff"/>
          </w:rPr>
          <w:t xml:space="preserve">частью 2.1 статьи 49</w:t>
        </w:r>
      </w:hyperlink>
      <w:r>
        <w:rPr>
          <w:sz w:val="24"/>
        </w:rPr>
        <w:t xml:space="preserve"> Федерального закона.</w:t>
      </w:r>
    </w:p>
    <w:p>
      <w:pPr>
        <w:pStyle w:val="0"/>
        <w:spacing w:before="240" w:lineRule="auto"/>
        <w:ind w:firstLine="540"/>
        <w:jc w:val="both"/>
      </w:pPr>
      <w:r>
        <w:rPr>
          <w:sz w:val="24"/>
        </w:rPr>
        <w:t xml:space="preserve">90. Территориальный фонд на основании сведений, указанных в </w:t>
      </w:r>
      <w:hyperlink w:history="0" w:anchor="P318" w:tooltip="89. Федеральный фонд обеспечивает внесение в единый регистр застрахованных лиц следующих сведений, получаемых в рамках межведомственного информационного взаимодействия, используемых в качестве основания признания полиса недействительным в рамках ведения персонифицированного учета:">
        <w:r>
          <w:rPr>
            <w:sz w:val="24"/>
            <w:color w:val="0000ff"/>
          </w:rPr>
          <w:t xml:space="preserve">пункте 89</w:t>
        </w:r>
      </w:hyperlink>
      <w:r>
        <w:rPr>
          <w:sz w:val="24"/>
        </w:rPr>
        <w:t xml:space="preserve"> настоящих Правил, признает полис недействительным со дня поступления данных сведений в единый регистр застрахованных лиц.</w:t>
      </w:r>
    </w:p>
    <w:p>
      <w:pPr>
        <w:pStyle w:val="0"/>
        <w:jc w:val="both"/>
      </w:pPr>
      <w:r>
        <w:rPr>
          <w:sz w:val="24"/>
        </w:rPr>
      </w:r>
    </w:p>
    <w:p>
      <w:pPr>
        <w:pStyle w:val="2"/>
        <w:outlineLvl w:val="1"/>
        <w:jc w:val="center"/>
      </w:pPr>
      <w:r>
        <w:rPr>
          <w:sz w:val="24"/>
        </w:rPr>
        <w:t xml:space="preserve">V. Ведение реестра страховых медицинских</w:t>
      </w:r>
    </w:p>
    <w:p>
      <w:pPr>
        <w:pStyle w:val="2"/>
        <w:jc w:val="center"/>
      </w:pPr>
      <w:r>
        <w:rPr>
          <w:sz w:val="24"/>
        </w:rPr>
        <w:t xml:space="preserve">организаций, осуществляющих деятельность в сфере</w:t>
      </w:r>
    </w:p>
    <w:p>
      <w:pPr>
        <w:pStyle w:val="2"/>
        <w:jc w:val="center"/>
      </w:pPr>
      <w:r>
        <w:rPr>
          <w:sz w:val="24"/>
        </w:rPr>
        <w:t xml:space="preserve">обязательного медицинского страхования на территории</w:t>
      </w:r>
    </w:p>
    <w:p>
      <w:pPr>
        <w:pStyle w:val="2"/>
        <w:jc w:val="center"/>
      </w:pPr>
      <w:r>
        <w:rPr>
          <w:sz w:val="24"/>
        </w:rPr>
        <w:t xml:space="preserve">субъекта Российской Федерации, и единого реестра страховых</w:t>
      </w:r>
    </w:p>
    <w:p>
      <w:pPr>
        <w:pStyle w:val="2"/>
        <w:jc w:val="center"/>
      </w:pPr>
      <w:r>
        <w:rPr>
          <w:sz w:val="24"/>
        </w:rPr>
        <w:t xml:space="preserve">медицинских организаций, осуществляющих деятельность</w:t>
      </w:r>
    </w:p>
    <w:p>
      <w:pPr>
        <w:pStyle w:val="2"/>
        <w:jc w:val="center"/>
      </w:pPr>
      <w:r>
        <w:rPr>
          <w:sz w:val="24"/>
        </w:rPr>
        <w:t xml:space="preserve">в сфере обязательного медицинского страхования</w:t>
      </w:r>
    </w:p>
    <w:p>
      <w:pPr>
        <w:pStyle w:val="0"/>
        <w:jc w:val="both"/>
      </w:pPr>
      <w:r>
        <w:rPr>
          <w:sz w:val="24"/>
        </w:rPr>
      </w:r>
    </w:p>
    <w:p>
      <w:pPr>
        <w:pStyle w:val="0"/>
        <w:ind w:firstLine="540"/>
        <w:jc w:val="both"/>
      </w:pPr>
      <w:r>
        <w:rPr>
          <w:sz w:val="24"/>
        </w:rPr>
        <w:t xml:space="preserve">91. Ведение реестра страховых медицинских организаций, осуществляющих деятельность в сфере обязательного медицинского страхования на территории субъекта Российской Федерации (далее - реестр страховых медицинских организаций), осуществляется в соответствии с </w:t>
      </w:r>
      <w:hyperlink w:history="0" r:id="rId83" w:tooltip="Федеральный закон от 29.11.2010 N 326-ФЗ (ред. от 20.02.2026) &quot;Об обязательном медицинском страховании в Российской Федерации&quot; {КонсультантПлюс}">
        <w:r>
          <w:rPr>
            <w:sz w:val="24"/>
            <w:color w:val="0000ff"/>
          </w:rPr>
          <w:t xml:space="preserve">пунктом 14 части 7 статьи 34</w:t>
        </w:r>
      </w:hyperlink>
      <w:r>
        <w:rPr>
          <w:sz w:val="24"/>
        </w:rPr>
        <w:t xml:space="preserve"> Федерального закона территориальным фондом. Рекомендуемый образец реестра страховых медицинских организаций приведен в </w:t>
      </w:r>
      <w:hyperlink w:history="0" w:anchor="P1947" w:tooltip="Реестр">
        <w:r>
          <w:rPr>
            <w:sz w:val="24"/>
            <w:color w:val="0000ff"/>
          </w:rPr>
          <w:t xml:space="preserve">приложении N 2</w:t>
        </w:r>
      </w:hyperlink>
      <w:r>
        <w:rPr>
          <w:sz w:val="24"/>
        </w:rPr>
        <w:t xml:space="preserve"> к настоящим Правилам.</w:t>
      </w:r>
    </w:p>
    <w:p>
      <w:pPr>
        <w:pStyle w:val="0"/>
        <w:spacing w:before="240" w:lineRule="auto"/>
        <w:ind w:firstLine="540"/>
        <w:jc w:val="both"/>
      </w:pPr>
      <w:r>
        <w:rPr>
          <w:sz w:val="24"/>
        </w:rPr>
        <w:t xml:space="preserve">92. Реестры страховых медицинских организаций субъектов Российской Федерации являются сегментами единого реестра страховых медицинских организаций, осуществляющих деятельность в сфере обязательного медицинского страхования (далее - единый реестр страховых медицинских организаций).</w:t>
      </w:r>
    </w:p>
    <w:p>
      <w:pPr>
        <w:pStyle w:val="0"/>
        <w:spacing w:before="240" w:lineRule="auto"/>
        <w:ind w:firstLine="540"/>
        <w:jc w:val="both"/>
      </w:pPr>
      <w:r>
        <w:rPr>
          <w:sz w:val="24"/>
        </w:rPr>
        <w:t xml:space="preserve">93. Ведение единого реестра страховых медицинских организаций осуществляется Федеральным фондом в соответствии с </w:t>
      </w:r>
      <w:hyperlink w:history="0" r:id="rId84" w:tooltip="Федеральный закон от 29.11.2010 N 326-ФЗ (ред. от 20.02.2026) &quot;Об обязательном медицинском страховании в Российской Федерации&quot; {КонсультантПлюс}">
        <w:r>
          <w:rPr>
            <w:sz w:val="24"/>
            <w:color w:val="0000ff"/>
          </w:rPr>
          <w:t xml:space="preserve">пунктом 9 части 8 статьи 33</w:t>
        </w:r>
      </w:hyperlink>
      <w:r>
        <w:rPr>
          <w:sz w:val="24"/>
        </w:rPr>
        <w:t xml:space="preserve"> Федерального закона.</w:t>
      </w:r>
    </w:p>
    <w:p>
      <w:pPr>
        <w:pStyle w:val="0"/>
        <w:spacing w:before="240" w:lineRule="auto"/>
        <w:ind w:firstLine="540"/>
        <w:jc w:val="both"/>
      </w:pPr>
      <w:r>
        <w:rPr>
          <w:sz w:val="24"/>
        </w:rPr>
        <w:t xml:space="preserve">94. Реестр страховых медицинских организаций содержит следующие сведения:</w:t>
      </w:r>
    </w:p>
    <w:p>
      <w:pPr>
        <w:pStyle w:val="0"/>
        <w:spacing w:before="240" w:lineRule="auto"/>
        <w:ind w:firstLine="540"/>
        <w:jc w:val="both"/>
      </w:pPr>
      <w:r>
        <w:rPr>
          <w:sz w:val="24"/>
        </w:rPr>
        <w:t xml:space="preserve">1) код субъекта Российской Федерации по </w:t>
      </w:r>
      <w:hyperlink w:history="0" r:id="rId85" w:tooltip="&quot;ОК 019-95. Общероссийский классификатор объектов административно-территориального деления&quot; (утв. Постановлением Госстандарта России от 31.07.1995 N 413) (ред. от 27.02.2026) (коды 01 - 32 ОКАТО) {КонсультантПлюс}">
        <w:r>
          <w:rPr>
            <w:sz w:val="24"/>
            <w:color w:val="0000ff"/>
          </w:rPr>
          <w:t xml:space="preserve">ОКАТО</w:t>
        </w:r>
      </w:hyperlink>
      <w:r>
        <w:rPr>
          <w:sz w:val="24"/>
        </w:rPr>
        <w:t xml:space="preserve">, в котором расположена страховая медицинская организация, в соответствии с Уведомлением об идентификационных кодах по общероссийским классификаторам технико-экономической и социальной информации (далее - ОК ТЭИ);</w:t>
      </w:r>
    </w:p>
    <w:bookmarkStart w:id="340" w:name="P340"/>
    <w:bookmarkEnd w:id="340"/>
    <w:p>
      <w:pPr>
        <w:pStyle w:val="0"/>
        <w:spacing w:before="240" w:lineRule="auto"/>
        <w:ind w:firstLine="540"/>
        <w:jc w:val="both"/>
      </w:pPr>
      <w:r>
        <w:rPr>
          <w:sz w:val="24"/>
        </w:rPr>
        <w:t xml:space="preserve">2) код страховой медицинской организации в кодировке единого реестра страховых медицинских организаций (далее - реестровый номер);</w:t>
      </w:r>
    </w:p>
    <w:bookmarkStart w:id="341" w:name="P341"/>
    <w:bookmarkEnd w:id="341"/>
    <w:p>
      <w:pPr>
        <w:pStyle w:val="0"/>
        <w:spacing w:before="240" w:lineRule="auto"/>
        <w:ind w:firstLine="540"/>
        <w:jc w:val="both"/>
      </w:pPr>
      <w:r>
        <w:rPr>
          <w:sz w:val="24"/>
        </w:rPr>
        <w:t xml:space="preserve">3) полное и сокращенное (при наличии) наименования страховой медицинской организации (филиала/представительства) в соответствии с единым государственным реестром юридических лиц (далее - ЕГРЮЛ);</w:t>
      </w:r>
    </w:p>
    <w:p>
      <w:pPr>
        <w:pStyle w:val="0"/>
        <w:spacing w:before="240" w:lineRule="auto"/>
        <w:ind w:firstLine="540"/>
        <w:jc w:val="both"/>
      </w:pPr>
      <w:r>
        <w:rPr>
          <w:sz w:val="24"/>
        </w:rPr>
        <w:t xml:space="preserve">4) головная организация (1), филиал (представительство) (2);</w:t>
      </w:r>
    </w:p>
    <w:p>
      <w:pPr>
        <w:pStyle w:val="0"/>
        <w:spacing w:before="240" w:lineRule="auto"/>
        <w:ind w:firstLine="540"/>
        <w:jc w:val="both"/>
      </w:pPr>
      <w:r>
        <w:rPr>
          <w:sz w:val="24"/>
        </w:rPr>
        <w:t xml:space="preserve">5) место нахождения и адрес страховой медицинской организации;</w:t>
      </w:r>
    </w:p>
    <w:bookmarkStart w:id="344" w:name="P344"/>
    <w:bookmarkEnd w:id="344"/>
    <w:p>
      <w:pPr>
        <w:pStyle w:val="0"/>
        <w:spacing w:before="240" w:lineRule="auto"/>
        <w:ind w:firstLine="540"/>
        <w:jc w:val="both"/>
      </w:pPr>
      <w:r>
        <w:rPr>
          <w:sz w:val="24"/>
        </w:rPr>
        <w:t xml:space="preserve">6) фактический адрес страховой медицинской организации в соответствии с выпиской из ЕГРЮЛ;</w:t>
      </w:r>
    </w:p>
    <w:p>
      <w:pPr>
        <w:pStyle w:val="0"/>
        <w:spacing w:before="240" w:lineRule="auto"/>
        <w:ind w:firstLine="540"/>
        <w:jc w:val="both"/>
      </w:pPr>
      <w:r>
        <w:rPr>
          <w:sz w:val="24"/>
        </w:rPr>
        <w:t xml:space="preserve">7) место нахождения и адрес филиала (представительства) страховой медицинской организации на территории субъекта Российской Федерации в соответствии с выпиской из ЕГРЮЛ;</w:t>
      </w:r>
    </w:p>
    <w:p>
      <w:pPr>
        <w:pStyle w:val="0"/>
        <w:spacing w:before="240" w:lineRule="auto"/>
        <w:ind w:firstLine="540"/>
        <w:jc w:val="both"/>
      </w:pPr>
      <w:r>
        <w:rPr>
          <w:sz w:val="24"/>
        </w:rPr>
        <w:t xml:space="preserve">8) код причины постановки на учет (далее - КПП), для филиалов (представительств) страховых медицинских организаций в соответствии со свидетельством о постановке на учет российской организации в налоговом органе по месту ее нахождения;</w:t>
      </w:r>
    </w:p>
    <w:bookmarkStart w:id="347" w:name="P347"/>
    <w:bookmarkEnd w:id="347"/>
    <w:p>
      <w:pPr>
        <w:pStyle w:val="0"/>
        <w:spacing w:before="240" w:lineRule="auto"/>
        <w:ind w:firstLine="540"/>
        <w:jc w:val="both"/>
      </w:pPr>
      <w:r>
        <w:rPr>
          <w:sz w:val="24"/>
        </w:rPr>
        <w:t xml:space="preserve">9) идентификационный номер налогоплательщика (далее - ИНН);</w:t>
      </w:r>
    </w:p>
    <w:bookmarkStart w:id="348" w:name="P348"/>
    <w:bookmarkEnd w:id="348"/>
    <w:p>
      <w:pPr>
        <w:pStyle w:val="0"/>
        <w:spacing w:before="240" w:lineRule="auto"/>
        <w:ind w:firstLine="540"/>
        <w:jc w:val="both"/>
      </w:pPr>
      <w:r>
        <w:rPr>
          <w:sz w:val="24"/>
        </w:rPr>
        <w:t xml:space="preserve">10) основной государственный регистрационный номер записи о создании юридического лица (далее - ОГРН);</w:t>
      </w:r>
    </w:p>
    <w:p>
      <w:pPr>
        <w:pStyle w:val="0"/>
        <w:spacing w:before="240" w:lineRule="auto"/>
        <w:ind w:firstLine="540"/>
        <w:jc w:val="both"/>
      </w:pPr>
      <w:r>
        <w:rPr>
          <w:sz w:val="24"/>
        </w:rPr>
        <w:t xml:space="preserve">11) организационно-правовая форма и код организационно-правовой формы страховой медицинской организации </w:t>
      </w:r>
      <w:hyperlink w:history="0" r:id="rId86" w:tooltip="&quot;ОК 028-2012. Общероссийский классификатор организационно-правовых форм&quot; (утв. Приказом Росстандарта от 16.10.2012 N 505-ст) (ред. от 30.07.2025) (вместе с &quot;Пояснениями к позициям ОКОПФ&quot;) {КонсультантПлюс}">
        <w:r>
          <w:rPr>
            <w:sz w:val="24"/>
            <w:color w:val="0000ff"/>
          </w:rPr>
          <w:t xml:space="preserve">(ОКОПФ)</w:t>
        </w:r>
      </w:hyperlink>
      <w:r>
        <w:rPr>
          <w:sz w:val="24"/>
        </w:rPr>
        <w:t xml:space="preserve"> в соответствии с Уведомлением об идентификационных кодах по ОК ТЭИ;</w:t>
      </w:r>
    </w:p>
    <w:p>
      <w:pPr>
        <w:pStyle w:val="0"/>
        <w:spacing w:before="240" w:lineRule="auto"/>
        <w:ind w:firstLine="540"/>
        <w:jc w:val="both"/>
      </w:pPr>
      <w:r>
        <w:rPr>
          <w:sz w:val="24"/>
        </w:rPr>
        <w:t xml:space="preserve">12) фамилию, имя, отчество (при наличии), номер телефона и факс руководителя, адрес электронной почты;</w:t>
      </w:r>
    </w:p>
    <w:p>
      <w:pPr>
        <w:pStyle w:val="0"/>
        <w:spacing w:before="240" w:lineRule="auto"/>
        <w:ind w:firstLine="540"/>
        <w:jc w:val="both"/>
      </w:pPr>
      <w:r>
        <w:rPr>
          <w:sz w:val="24"/>
        </w:rPr>
        <w:t xml:space="preserve">13) фамилию, имя, отчество (при наличии), номер телефона и факс, адрес электронной почты руководителя филиала (представительства) страховой медицинской организации на территории субъекта Российской Федерации;</w:t>
      </w:r>
    </w:p>
    <w:bookmarkStart w:id="352" w:name="P352"/>
    <w:bookmarkEnd w:id="352"/>
    <w:p>
      <w:pPr>
        <w:pStyle w:val="0"/>
        <w:spacing w:before="240" w:lineRule="auto"/>
        <w:ind w:firstLine="540"/>
        <w:jc w:val="both"/>
      </w:pPr>
      <w:r>
        <w:rPr>
          <w:sz w:val="24"/>
        </w:rPr>
        <w:t xml:space="preserve">14) сведения о лицензии на осуществление страхования по виду деятельности - обязательное медицинское страхование (номер, дата выдачи и окончания срока действия, причины прекращения действия лицензии);</w:t>
      </w:r>
    </w:p>
    <w:bookmarkStart w:id="353" w:name="P353"/>
    <w:bookmarkEnd w:id="353"/>
    <w:p>
      <w:pPr>
        <w:pStyle w:val="0"/>
        <w:spacing w:before="240" w:lineRule="auto"/>
        <w:ind w:firstLine="540"/>
        <w:jc w:val="both"/>
      </w:pPr>
      <w:r>
        <w:rPr>
          <w:sz w:val="24"/>
        </w:rPr>
        <w:t xml:space="preserve">15) дату включения страховой медицинской организации в реестр страховых медицинских организаций;</w:t>
      </w:r>
    </w:p>
    <w:p>
      <w:pPr>
        <w:pStyle w:val="0"/>
        <w:spacing w:before="240" w:lineRule="auto"/>
        <w:ind w:firstLine="540"/>
        <w:jc w:val="both"/>
      </w:pPr>
      <w:r>
        <w:rPr>
          <w:sz w:val="24"/>
        </w:rPr>
        <w:t xml:space="preserve">16) дату исключения страховой медицинской организации из реестра страховых медицинских организаций;</w:t>
      </w:r>
    </w:p>
    <w:p>
      <w:pPr>
        <w:pStyle w:val="0"/>
        <w:spacing w:before="240" w:lineRule="auto"/>
        <w:ind w:firstLine="540"/>
        <w:jc w:val="both"/>
      </w:pPr>
      <w:r>
        <w:rPr>
          <w:sz w:val="24"/>
        </w:rPr>
        <w:t xml:space="preserve">17) причину исключения страховой медицинской организации из реестра страховых медицинских организаций;</w:t>
      </w:r>
    </w:p>
    <w:bookmarkStart w:id="356" w:name="P356"/>
    <w:bookmarkEnd w:id="356"/>
    <w:p>
      <w:pPr>
        <w:pStyle w:val="0"/>
        <w:spacing w:before="240" w:lineRule="auto"/>
        <w:ind w:firstLine="540"/>
        <w:jc w:val="both"/>
      </w:pPr>
      <w:r>
        <w:rPr>
          <w:sz w:val="24"/>
        </w:rPr>
        <w:t xml:space="preserve">18) численность застрахованных лиц страховой медицинской организацией в субъекте Российской Федерации на дату подачи уведомления о включении в реестр страховых медицинских организаций, осуществляющих деятельность в сфере обязательного медицинского страхования (далее - уведомление о включении в реестр страховых медицинских организаций);</w:t>
      </w:r>
    </w:p>
    <w:p>
      <w:pPr>
        <w:pStyle w:val="0"/>
        <w:spacing w:before="240" w:lineRule="auto"/>
        <w:ind w:firstLine="540"/>
        <w:jc w:val="both"/>
      </w:pPr>
      <w:r>
        <w:rPr>
          <w:sz w:val="24"/>
        </w:rPr>
        <w:t xml:space="preserve">19) количество уполномоченных лиц страховой медицинской организации (далее - представители страховой медицинской организации), фактически осуществляющих деятельность по защите прав застрахованных лиц на дату подачи уведомления о включении в реестр страховых медицинских организаций (в соответствии с установленной Федеральным фондом </w:t>
      </w:r>
      <w:hyperlink w:history="0" r:id="rId87" w:tooltip="Приказ ФФОМС от 30.07.2024 N 118н &quot;Об установлении формы и порядка ведения отчетности N ЗПЗ &quot;Организация защиты прав застрахованных лиц в сфере обязательного медицинского страхования&quot; (Зарегистрировано в Минюсте России 27.08.2024 N 79297) {КонсультантПлюс}">
        <w:r>
          <w:rPr>
            <w:sz w:val="24"/>
            <w:color w:val="0000ff"/>
          </w:rPr>
          <w:t xml:space="preserve">формой</w:t>
        </w:r>
      </w:hyperlink>
      <w:r>
        <w:rPr>
          <w:sz w:val="24"/>
        </w:rPr>
        <w:t xml:space="preserve"> отчетности ЗПЗ "Организация защиты прав застрахованных лиц в сфере обязательного медицинского страхования" &lt;12&gt;);</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&lt;12&gt; </w:t>
      </w:r>
      <w:hyperlink w:history="0" r:id="rId88" w:tooltip="Приказ ФФОМС от 30.07.2024 N 118н &quot;Об установлении формы и порядка ведения отчетности N ЗПЗ &quot;Организация защиты прав застрахованных лиц в сфере обязательного медицинского страхования&quot; (Зарегистрировано в Минюсте России 27.08.2024 N 79297) {КонсультантПлюс}">
        <w:r>
          <w:rPr>
            <w:sz w:val="24"/>
            <w:color w:val="0000ff"/>
          </w:rPr>
          <w:t xml:space="preserve">Приказ</w:t>
        </w:r>
      </w:hyperlink>
      <w:r>
        <w:rPr>
          <w:sz w:val="24"/>
        </w:rPr>
        <w:t xml:space="preserve"> Федерального фонда обязательного медицинского страхования от 30 июля 2024 г. N 118н "Об установлении формы и порядка ведения отчетности N ЗПЗ "Организация защиты прав застрахованных лиц в сфере обязательного медицинского страхования" (зарегистрирован Министерством юстиции Российской Федерации 27 августа 2024 г., регистрационный N 79297).</w:t>
      </w:r>
    </w:p>
    <w:p>
      <w:pPr>
        <w:pStyle w:val="0"/>
        <w:jc w:val="both"/>
      </w:pPr>
      <w:r>
        <w:rPr>
          <w:sz w:val="24"/>
        </w:rPr>
      </w:r>
    </w:p>
    <w:p>
      <w:pPr>
        <w:pStyle w:val="0"/>
        <w:ind w:firstLine="540"/>
        <w:jc w:val="both"/>
      </w:pPr>
      <w:r>
        <w:rPr>
          <w:sz w:val="24"/>
        </w:rPr>
        <w:t xml:space="preserve">20) сведения о заключенном договоре о финансовом обеспечении (номер, дата заключения, год реализации территориальной программы);</w:t>
      </w:r>
    </w:p>
    <w:bookmarkStart w:id="362" w:name="P362"/>
    <w:bookmarkEnd w:id="362"/>
    <w:p>
      <w:pPr>
        <w:pStyle w:val="0"/>
        <w:spacing w:before="240" w:lineRule="auto"/>
        <w:ind w:firstLine="540"/>
        <w:jc w:val="both"/>
      </w:pPr>
      <w:r>
        <w:rPr>
          <w:sz w:val="24"/>
        </w:rPr>
        <w:t xml:space="preserve">21) сведения о прекращении или досрочном расторжении договора о финансовом обеспечении (дата и причина прекращения или досрочного расторжения).</w:t>
      </w:r>
    </w:p>
    <w:p>
      <w:pPr>
        <w:pStyle w:val="0"/>
        <w:spacing w:before="240" w:lineRule="auto"/>
        <w:ind w:firstLine="540"/>
        <w:jc w:val="both"/>
      </w:pPr>
      <w:r>
        <w:rPr>
          <w:sz w:val="24"/>
        </w:rPr>
        <w:t xml:space="preserve">95. Страховая медицинская организация включается в реестр страховых медицинских организаций на основании уведомления о включении в реестр страховых медицинских организаций, направляемого ею в территориальный фонд, рекомендуемый образец которого приведен в </w:t>
      </w:r>
      <w:hyperlink w:history="0" w:anchor="P2029" w:tooltip="Уведомление">
        <w:r>
          <w:rPr>
            <w:sz w:val="24"/>
            <w:color w:val="0000ff"/>
          </w:rPr>
          <w:t xml:space="preserve">приложении N 3</w:t>
        </w:r>
      </w:hyperlink>
      <w:r>
        <w:rPr>
          <w:sz w:val="24"/>
        </w:rPr>
        <w:t xml:space="preserve"> к настоящим Правилам.</w:t>
      </w:r>
    </w:p>
    <w:p>
      <w:pPr>
        <w:pStyle w:val="0"/>
        <w:spacing w:before="240" w:lineRule="auto"/>
        <w:ind w:firstLine="540"/>
        <w:jc w:val="both"/>
      </w:pPr>
      <w:r>
        <w:rPr>
          <w:sz w:val="24"/>
        </w:rPr>
        <w:t xml:space="preserve">96. Страховая медицинская организация направляет уведомление о включении в реестр страховых медицинских организаций с 1 августа до 1 октября года, предшествующего году, в котором страховая медицинская организация намерена осуществлять деятельность в сфере обязательного медицинского страхования, в электронном виде в государственной информационной системе обязательного медицинского страхования &lt;13&gt;.</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&lt;13&gt; </w:t>
      </w:r>
      <w:hyperlink w:history="0" r:id="rId89" w:tooltip="Постановление Правительства РФ от 11.06.2021 N 901 (ред. от 14.03.2022) &quot;Об утверждении Правил функционирования государственной информационной системы обязательного медицинского страхования и внесении изменений в некоторые акты Правительства Российской Федерации&quot; {КонсультантПлюс}">
        <w:r>
          <w:rPr>
            <w:sz w:val="24"/>
            <w:color w:val="0000ff"/>
          </w:rPr>
          <w:t xml:space="preserve">Постановление</w:t>
        </w:r>
      </w:hyperlink>
      <w:r>
        <w:rPr>
          <w:sz w:val="24"/>
        </w:rPr>
        <w:t xml:space="preserve"> Правительства Российской Федерации от 11 июня 2021 г. N 901 "Об утверждении Правил функционирования государственной информационной системы обязательного медицинского страхования и внесении изменений в некоторые акты Правительства Российской Федерации".</w:t>
      </w:r>
    </w:p>
    <w:p>
      <w:pPr>
        <w:pStyle w:val="0"/>
        <w:jc w:val="both"/>
      </w:pPr>
      <w:r>
        <w:rPr>
          <w:sz w:val="24"/>
        </w:rPr>
      </w:r>
    </w:p>
    <w:p>
      <w:pPr>
        <w:pStyle w:val="0"/>
        <w:ind w:firstLine="540"/>
        <w:jc w:val="both"/>
      </w:pPr>
      <w:r>
        <w:rPr>
          <w:sz w:val="24"/>
        </w:rPr>
        <w:t xml:space="preserve">97. Уведомление о включении в реестр страховых медицинских организаций должно содержать следующую информацию:</w:t>
      </w:r>
    </w:p>
    <w:p>
      <w:pPr>
        <w:pStyle w:val="0"/>
        <w:spacing w:before="240" w:lineRule="auto"/>
        <w:ind w:firstLine="540"/>
        <w:jc w:val="both"/>
      </w:pPr>
      <w:r>
        <w:rPr>
          <w:sz w:val="24"/>
        </w:rPr>
        <w:t xml:space="preserve">1) полное и сокращенное (при наличии) наименования страховой медицинской организации в соответствии с ЕГРЮЛ;</w:t>
      </w:r>
    </w:p>
    <w:p>
      <w:pPr>
        <w:pStyle w:val="0"/>
        <w:spacing w:before="240" w:lineRule="auto"/>
        <w:ind w:firstLine="540"/>
        <w:jc w:val="both"/>
      </w:pPr>
      <w:r>
        <w:rPr>
          <w:sz w:val="24"/>
        </w:rPr>
        <w:t xml:space="preserve">2) наименование филиала (представительства) страховой медицинской организации в соответствии с выпиской из ЕГРЮЛ;</w:t>
      </w:r>
    </w:p>
    <w:p>
      <w:pPr>
        <w:pStyle w:val="0"/>
        <w:spacing w:before="240" w:lineRule="auto"/>
        <w:ind w:firstLine="540"/>
        <w:jc w:val="both"/>
      </w:pPr>
      <w:r>
        <w:rPr>
          <w:sz w:val="24"/>
        </w:rPr>
        <w:t xml:space="preserve">3) юридический адрес страховой медицинской организации в соответствии с выпиской из ЕГРЮЛ;</w:t>
      </w:r>
    </w:p>
    <w:p>
      <w:pPr>
        <w:pStyle w:val="0"/>
        <w:spacing w:before="240" w:lineRule="auto"/>
        <w:ind w:firstLine="540"/>
        <w:jc w:val="both"/>
      </w:pPr>
      <w:r>
        <w:rPr>
          <w:sz w:val="24"/>
        </w:rPr>
        <w:t xml:space="preserve">4) фактический адрес нахождения страховой медицинской организации;</w:t>
      </w:r>
    </w:p>
    <w:p>
      <w:pPr>
        <w:pStyle w:val="0"/>
        <w:spacing w:before="240" w:lineRule="auto"/>
        <w:ind w:firstLine="540"/>
        <w:jc w:val="both"/>
      </w:pPr>
      <w:r>
        <w:rPr>
          <w:sz w:val="24"/>
        </w:rPr>
        <w:t xml:space="preserve">5) юридический адрес филиала (представительства) страховой медицинской организации в соответствии с выпиской из ЕГРЮЛ;</w:t>
      </w:r>
    </w:p>
    <w:p>
      <w:pPr>
        <w:pStyle w:val="0"/>
        <w:spacing w:before="240" w:lineRule="auto"/>
        <w:ind w:firstLine="540"/>
        <w:jc w:val="both"/>
      </w:pPr>
      <w:r>
        <w:rPr>
          <w:sz w:val="24"/>
        </w:rPr>
        <w:t xml:space="preserve">6) фактический адрес нахождения филиала (представительства) страховой медицинской организации;</w:t>
      </w:r>
    </w:p>
    <w:p>
      <w:pPr>
        <w:pStyle w:val="0"/>
        <w:spacing w:before="240" w:lineRule="auto"/>
        <w:ind w:firstLine="540"/>
        <w:jc w:val="both"/>
      </w:pPr>
      <w:r>
        <w:rPr>
          <w:sz w:val="24"/>
        </w:rPr>
        <w:t xml:space="preserve">7) КПП (для филиалов (представительств) в соответствии со свидетельством о постановке на учет российской организации в налоговом органе по месту ее нахождения);</w:t>
      </w:r>
    </w:p>
    <w:p>
      <w:pPr>
        <w:pStyle w:val="0"/>
        <w:spacing w:before="240" w:lineRule="auto"/>
        <w:ind w:firstLine="540"/>
        <w:jc w:val="both"/>
      </w:pPr>
      <w:r>
        <w:rPr>
          <w:sz w:val="24"/>
        </w:rPr>
        <w:t xml:space="preserve">8) ИНН (для филиалов (представительств) в соответствии со свидетельством о постановке на учет российской организации в налоговом органе по месту ее нахождения);</w:t>
      </w:r>
    </w:p>
    <w:p>
      <w:pPr>
        <w:pStyle w:val="0"/>
        <w:spacing w:before="240" w:lineRule="auto"/>
        <w:ind w:firstLine="540"/>
        <w:jc w:val="both"/>
      </w:pPr>
      <w:r>
        <w:rPr>
          <w:sz w:val="24"/>
        </w:rPr>
        <w:t xml:space="preserve">9) ОГРН;</w:t>
      </w:r>
    </w:p>
    <w:p>
      <w:pPr>
        <w:pStyle w:val="0"/>
        <w:spacing w:before="240" w:lineRule="auto"/>
        <w:ind w:firstLine="540"/>
        <w:jc w:val="both"/>
      </w:pPr>
      <w:r>
        <w:rPr>
          <w:sz w:val="24"/>
        </w:rPr>
        <w:t xml:space="preserve">10) организационно-правовая форма страховой медицинской организации и код организационно-правовой формы </w:t>
      </w:r>
      <w:hyperlink w:history="0" r:id="rId90" w:tooltip="&quot;ОК 028-2012. Общероссийский классификатор организационно-правовых форм&quot; (утв. Приказом Росстандарта от 16.10.2012 N 505-ст) (ред. от 30.07.2025) (вместе с &quot;Пояснениями к позициям ОКОПФ&quot;) {КонсультантПлюс}">
        <w:r>
          <w:rPr>
            <w:sz w:val="24"/>
            <w:color w:val="0000ff"/>
          </w:rPr>
          <w:t xml:space="preserve">(ОКОПФ)</w:t>
        </w:r>
      </w:hyperlink>
      <w:r>
        <w:rPr>
          <w:sz w:val="24"/>
        </w:rPr>
        <w:t xml:space="preserve"> в соответствии с Уведомлением об идентификационных кодах по ОК ТЭИ;</w:t>
      </w:r>
    </w:p>
    <w:p>
      <w:pPr>
        <w:pStyle w:val="0"/>
        <w:spacing w:before="240" w:lineRule="auto"/>
        <w:ind w:firstLine="540"/>
        <w:jc w:val="both"/>
      </w:pPr>
      <w:r>
        <w:rPr>
          <w:sz w:val="24"/>
        </w:rPr>
        <w:t xml:space="preserve">11) фамилию, имя, отчество (при наличии), номер телефона, факс руководителя, адрес электронной почты;</w:t>
      </w:r>
    </w:p>
    <w:p>
      <w:pPr>
        <w:pStyle w:val="0"/>
        <w:spacing w:before="240" w:lineRule="auto"/>
        <w:ind w:firstLine="540"/>
        <w:jc w:val="both"/>
      </w:pPr>
      <w:r>
        <w:rPr>
          <w:sz w:val="24"/>
        </w:rPr>
        <w:t xml:space="preserve">12) фамилию, имя, отчество (при наличии), номер телефона, факс руководителя филиала (представительства), адрес электронной почты;</w:t>
      </w:r>
    </w:p>
    <w:p>
      <w:pPr>
        <w:pStyle w:val="0"/>
        <w:spacing w:before="240" w:lineRule="auto"/>
        <w:ind w:firstLine="540"/>
        <w:jc w:val="both"/>
      </w:pPr>
      <w:r>
        <w:rPr>
          <w:sz w:val="24"/>
        </w:rPr>
        <w:t xml:space="preserve">13) сведения о лицензии на осуществление страхования по виду деятельности - обязательное медицинское страхование (номер, дата выдачи, дата окончания действия);</w:t>
      </w:r>
    </w:p>
    <w:p>
      <w:pPr>
        <w:pStyle w:val="0"/>
        <w:spacing w:before="240" w:lineRule="auto"/>
        <w:ind w:firstLine="540"/>
        <w:jc w:val="both"/>
      </w:pPr>
      <w:r>
        <w:rPr>
          <w:sz w:val="24"/>
        </w:rPr>
        <w:t xml:space="preserve">14) численность застрахованных лиц в субъекте Российской Федерации на дату подачи уведомления о включении в реестр страховых медицинских организаций;</w:t>
      </w:r>
    </w:p>
    <w:p>
      <w:pPr>
        <w:pStyle w:val="0"/>
        <w:spacing w:before="240" w:lineRule="auto"/>
        <w:ind w:firstLine="540"/>
        <w:jc w:val="both"/>
      </w:pPr>
      <w:r>
        <w:rPr>
          <w:sz w:val="24"/>
        </w:rPr>
        <w:t xml:space="preserve">15) сведения о возможности выполнения страховой медицинской организацией информационного сопровождения застрахованных лиц;</w:t>
      </w:r>
    </w:p>
    <w:p>
      <w:pPr>
        <w:pStyle w:val="0"/>
        <w:spacing w:before="240" w:lineRule="auto"/>
        <w:ind w:firstLine="540"/>
        <w:jc w:val="both"/>
      </w:pPr>
      <w:r>
        <w:rPr>
          <w:sz w:val="24"/>
        </w:rPr>
        <w:t xml:space="preserve">16) количество представителей страховой медицинской организации, фактически осуществляющих деятельность по защите прав застрахованных лиц на дату подачи уведомления (в соответствии с установленной Федеральным фондом формой отчетности ЗПЗ "Организация защиты прав застрахованных лиц в сфере обязательного медицинского страхования").</w:t>
      </w:r>
    </w:p>
    <w:p>
      <w:pPr>
        <w:pStyle w:val="0"/>
        <w:spacing w:before="240" w:lineRule="auto"/>
        <w:ind w:firstLine="540"/>
        <w:jc w:val="both"/>
      </w:pPr>
      <w:r>
        <w:rPr>
          <w:sz w:val="24"/>
        </w:rPr>
        <w:t xml:space="preserve">98. В день получения уведомления о включении в реестр страховых медицинских организаций территориальный фонд осуществляет его проверку и при установлении полноты указанных в уведомлении о включении в реестр страховых медицинских организаций сведений вносит данную страховую медицинскую организацию в реестр страховых медицинских организаций с присвоением реестрового номера.</w:t>
      </w:r>
    </w:p>
    <w:p>
      <w:pPr>
        <w:pStyle w:val="0"/>
        <w:spacing w:before="240" w:lineRule="auto"/>
        <w:ind w:firstLine="540"/>
        <w:jc w:val="both"/>
      </w:pPr>
      <w:r>
        <w:rPr>
          <w:sz w:val="24"/>
        </w:rPr>
        <w:t xml:space="preserve">99. Территориальный фонд не позднее двух рабочих дней с даты присвоения страховой медицинской организации реестрового номера информирует страховую медицинскую организацию в государственной информационной системе обязательного медицинского страхования о включении в реестр страховых медицинских организаций.</w:t>
      </w:r>
    </w:p>
    <w:p>
      <w:pPr>
        <w:pStyle w:val="0"/>
        <w:spacing w:before="240" w:lineRule="auto"/>
        <w:ind w:firstLine="540"/>
        <w:jc w:val="both"/>
      </w:pPr>
      <w:r>
        <w:rPr>
          <w:sz w:val="24"/>
        </w:rPr>
        <w:t xml:space="preserve">100. При выявлении несоответствия сведений, представленных в уведомлении о включении в реестр страховых медицинских организаций, территориальный фонд в электронном виде в государственной информационной системе обязательного медицинского страхования уведомляет страховую медицинскую организацию о несоответствии соответствующих сведений.</w:t>
      </w:r>
    </w:p>
    <w:p>
      <w:pPr>
        <w:pStyle w:val="0"/>
        <w:spacing w:before="240" w:lineRule="auto"/>
        <w:ind w:firstLine="540"/>
        <w:jc w:val="both"/>
      </w:pPr>
      <w:r>
        <w:rPr>
          <w:sz w:val="24"/>
        </w:rPr>
        <w:t xml:space="preserve">101. Страховая медицинская организация вносит уточнения в уведомление о включении в реестр страховых медицинских организаций с учетом срока, установленного </w:t>
      </w:r>
      <w:hyperlink w:history="0" r:id="rId91" w:tooltip="Федеральный закон от 29.11.2010 N 326-ФЗ (ред. от 20.02.2026) &quot;Об обязательном медицинском страховании в Российской Федерации&quot; {КонсультантПлюс}">
        <w:r>
          <w:rPr>
            <w:sz w:val="24"/>
            <w:color w:val="0000ff"/>
          </w:rPr>
          <w:t xml:space="preserve">частью 10 статьи 14</w:t>
        </w:r>
      </w:hyperlink>
      <w:r>
        <w:rPr>
          <w:sz w:val="24"/>
        </w:rPr>
        <w:t xml:space="preserve"> Федерального закона.</w:t>
      </w:r>
    </w:p>
    <w:p>
      <w:pPr>
        <w:pStyle w:val="0"/>
        <w:spacing w:before="240" w:lineRule="auto"/>
        <w:ind w:firstLine="540"/>
        <w:jc w:val="both"/>
      </w:pPr>
      <w:r>
        <w:rPr>
          <w:sz w:val="24"/>
        </w:rPr>
        <w:t xml:space="preserve">102. В случае изменения сведений о страховой медицинской организации, предусмотренных </w:t>
      </w:r>
      <w:hyperlink w:history="0" w:anchor="P341" w:tooltip="3) полное и сокращенное (при наличии) наименования страховой медицинской организации (филиала/представительства) в соответствии с единым государственным реестром юридических лиц (далее - ЕГРЮЛ);">
        <w:r>
          <w:rPr>
            <w:sz w:val="24"/>
            <w:color w:val="0000ff"/>
          </w:rPr>
          <w:t xml:space="preserve">подпунктами 3</w:t>
        </w:r>
      </w:hyperlink>
      <w:r>
        <w:rPr>
          <w:sz w:val="24"/>
        </w:rPr>
        <w:t xml:space="preserve"> - </w:t>
      </w:r>
      <w:hyperlink w:history="0" w:anchor="P348" w:tooltip="10) основной государственный регистрационный номер записи о создании юридического лица (далее - ОГРН);">
        <w:r>
          <w:rPr>
            <w:sz w:val="24"/>
            <w:color w:val="0000ff"/>
          </w:rPr>
          <w:t xml:space="preserve">10 пункта 94</w:t>
        </w:r>
      </w:hyperlink>
      <w:r>
        <w:rPr>
          <w:sz w:val="24"/>
        </w:rPr>
        <w:t xml:space="preserve"> настоящих Правил, страховая медицинская организация в течение двух рабочих дней с даты этих изменений направляет в территориальный фонд в государственной информационной системе обязательного медицинского страхования новые сведения для актуализации реестра страховых медицинских организаций.</w:t>
      </w:r>
    </w:p>
    <w:p>
      <w:pPr>
        <w:pStyle w:val="0"/>
        <w:spacing w:before="240" w:lineRule="auto"/>
        <w:ind w:firstLine="540"/>
        <w:jc w:val="both"/>
      </w:pPr>
      <w:r>
        <w:rPr>
          <w:sz w:val="24"/>
        </w:rPr>
        <w:t xml:space="preserve">103. В случае изменения сведений о страховой медицинской организации, содержащихся в реестре страховых медицинских организаций субъекта Российской Федерации, в результате реорганизации страховой медицинской организации в форме преобразования, а также в форме присоединения к страховой медицинской организации, не включенной в реестр страховых медицинских организаций субъекта Российской Федерации, реорганизованная страховая медицинская организация в течение двух рабочих дней с даты этих изменений направляет в территориальный фонд в государственной информационной системе обязательного медицинского страхования сведения, необходимые для внесения в реестр страховых медицинских организаций, а также копии документов, подтверждающих сведения о реорганизации.</w:t>
      </w:r>
    </w:p>
    <w:p>
      <w:pPr>
        <w:pStyle w:val="0"/>
        <w:spacing w:before="240" w:lineRule="auto"/>
        <w:ind w:firstLine="540"/>
        <w:jc w:val="both"/>
      </w:pPr>
      <w:r>
        <w:rPr>
          <w:sz w:val="24"/>
        </w:rPr>
        <w:t xml:space="preserve">104. Внесение изменений в сведения, содержащиеся в реестре страховых медицинских организаций, осуществляется территориальным фондом в течение пяти рабочих дней со дня представления страховыми медицинскими организациями сведений и документов, подтверждающих эти сведения.</w:t>
      </w:r>
    </w:p>
    <w:p>
      <w:pPr>
        <w:pStyle w:val="0"/>
        <w:spacing w:before="240" w:lineRule="auto"/>
        <w:ind w:firstLine="540"/>
        <w:jc w:val="both"/>
      </w:pPr>
      <w:r>
        <w:rPr>
          <w:sz w:val="24"/>
        </w:rPr>
        <w:t xml:space="preserve">105. Исключение страховой медицинской организации из реестра страховых медицинских организаций осуществляется в случаях приостановления либо прекращения действия лицензии, ликвидации страховой медицинской организации, по уведомлению о досрочном расторжении договора о финансовом обеспечении, непредставления документов в срок, установленный </w:t>
      </w:r>
      <w:hyperlink w:history="0" r:id="rId92" w:tooltip="Федеральный закон от 29.11.2010 N 326-ФЗ (ред. от 20.02.2026) &quot;Об обязательном медицинском страховании в Российской Федерации&quot; {КонсультантПлюс}">
        <w:r>
          <w:rPr>
            <w:sz w:val="24"/>
            <w:color w:val="0000ff"/>
          </w:rPr>
          <w:t xml:space="preserve">частью 10 статьи 14</w:t>
        </w:r>
      </w:hyperlink>
      <w:r>
        <w:rPr>
          <w:sz w:val="24"/>
        </w:rPr>
        <w:t xml:space="preserve"> Федерального закона.</w:t>
      </w:r>
    </w:p>
    <w:p>
      <w:pPr>
        <w:pStyle w:val="0"/>
        <w:spacing w:before="240" w:lineRule="auto"/>
        <w:ind w:firstLine="540"/>
        <w:jc w:val="both"/>
      </w:pPr>
      <w:r>
        <w:rPr>
          <w:sz w:val="24"/>
        </w:rPr>
        <w:t xml:space="preserve">106. Уведомление о досрочном расторжении договора о финансовом обеспечении в соответствии с </w:t>
      </w:r>
      <w:hyperlink w:history="0" r:id="rId93" w:tooltip="Федеральный закон от 29.11.2010 N 326-ФЗ (ред. от 20.02.2026) &quot;Об обязательном медицинском страховании в Российской Федерации&quot; {КонсультантПлюс}">
        <w:r>
          <w:rPr>
            <w:sz w:val="24"/>
            <w:color w:val="0000ff"/>
          </w:rPr>
          <w:t xml:space="preserve">частью 15 статьи 38</w:t>
        </w:r>
      </w:hyperlink>
      <w:r>
        <w:rPr>
          <w:sz w:val="24"/>
        </w:rPr>
        <w:t xml:space="preserve"> Федерального закона направляется страховой медицинской организацией в территориальный фонд за три месяца до даты расторжения договора о финансовом обеспечении.</w:t>
      </w:r>
    </w:p>
    <w:p>
      <w:pPr>
        <w:pStyle w:val="0"/>
        <w:spacing w:before="240" w:lineRule="auto"/>
        <w:ind w:firstLine="540"/>
        <w:jc w:val="both"/>
      </w:pPr>
      <w:r>
        <w:rPr>
          <w:sz w:val="24"/>
        </w:rPr>
        <w:t xml:space="preserve">107. Исключение из реестра страховых медицинских организаций в случаях приостановления либо прекращения действия лицензии или ликвидации страховой медицинской организации осуществляется в день получения территориальным фондом сведений, подтверждающих данную информацию, или на установленную </w:t>
      </w:r>
      <w:hyperlink w:history="0" r:id="rId94" w:tooltip="Федеральный закон от 29.11.2010 N 326-ФЗ (ред. от 20.02.2026) &quot;Об обязательном медицинском страховании в Российской Федерации&quot; {КонсультантПлюс}">
        <w:r>
          <w:rPr>
            <w:sz w:val="24"/>
            <w:color w:val="0000ff"/>
          </w:rPr>
          <w:t xml:space="preserve">частью 10 статьи 14</w:t>
        </w:r>
      </w:hyperlink>
      <w:r>
        <w:rPr>
          <w:sz w:val="24"/>
        </w:rPr>
        <w:t xml:space="preserve"> Федерального закона дату при непредставлении страховой медицинской организацией документов в срок.</w:t>
      </w:r>
    </w:p>
    <w:p>
      <w:pPr>
        <w:pStyle w:val="0"/>
        <w:spacing w:before="240" w:lineRule="auto"/>
        <w:ind w:firstLine="540"/>
        <w:jc w:val="both"/>
      </w:pPr>
      <w:r>
        <w:rPr>
          <w:sz w:val="24"/>
        </w:rPr>
        <w:t xml:space="preserve">108. Исключение из реестра страховых медицинских организаций на основании уведомления, направляемого страховой медицинской организации территориальным фондом, осуществляется не позднее следующего рабочего дня после дня прекращения действия договора о финансовом обеспечении.</w:t>
      </w:r>
    </w:p>
    <w:p>
      <w:pPr>
        <w:pStyle w:val="0"/>
        <w:spacing w:before="240" w:lineRule="auto"/>
        <w:ind w:firstLine="540"/>
        <w:jc w:val="both"/>
      </w:pPr>
      <w:r>
        <w:rPr>
          <w:sz w:val="24"/>
        </w:rPr>
        <w:t xml:space="preserve">109. Федеральный фонд обеспечивает размещение на своем официальном сайте единого реестра страховых медицинских организаций с указанием сведений, перечисленных в </w:t>
      </w:r>
      <w:hyperlink w:history="0" w:anchor="P340" w:tooltip="2) код страховой медицинской организации в кодировке единого реестра страховых медицинских организаций (далее - реестровый номер);">
        <w:r>
          <w:rPr>
            <w:sz w:val="24"/>
            <w:color w:val="0000ff"/>
          </w:rPr>
          <w:t xml:space="preserve">подпунктах 2</w:t>
        </w:r>
      </w:hyperlink>
      <w:r>
        <w:rPr>
          <w:sz w:val="24"/>
        </w:rPr>
        <w:t xml:space="preserve">, </w:t>
      </w:r>
      <w:hyperlink w:history="0" w:anchor="P341" w:tooltip="3) полное и сокращенное (при наличии) наименования страховой медицинской организации (филиала/представительства) в соответствии с единым государственным реестром юридических лиц (далее - ЕГРЮЛ);">
        <w:r>
          <w:rPr>
            <w:sz w:val="24"/>
            <w:color w:val="0000ff"/>
          </w:rPr>
          <w:t xml:space="preserve">3</w:t>
        </w:r>
      </w:hyperlink>
      <w:r>
        <w:rPr>
          <w:sz w:val="24"/>
        </w:rPr>
        <w:t xml:space="preserve">, </w:t>
      </w:r>
      <w:hyperlink w:history="0" w:anchor="P344" w:tooltip="6) фактический адрес страховой медицинской организации в соответствии с выпиской из ЕГРЮЛ;">
        <w:r>
          <w:rPr>
            <w:sz w:val="24"/>
            <w:color w:val="0000ff"/>
          </w:rPr>
          <w:t xml:space="preserve">6</w:t>
        </w:r>
      </w:hyperlink>
      <w:r>
        <w:rPr>
          <w:sz w:val="24"/>
        </w:rPr>
        <w:t xml:space="preserve">, </w:t>
      </w:r>
      <w:hyperlink w:history="0" w:anchor="P347" w:tooltip="9) идентификационный номер налогоплательщика (далее - ИНН);">
        <w:r>
          <w:rPr>
            <w:sz w:val="24"/>
            <w:color w:val="0000ff"/>
          </w:rPr>
          <w:t xml:space="preserve">9</w:t>
        </w:r>
      </w:hyperlink>
      <w:r>
        <w:rPr>
          <w:sz w:val="24"/>
        </w:rPr>
        <w:t xml:space="preserve"> - </w:t>
      </w:r>
      <w:hyperlink w:history="0" w:anchor="P353" w:tooltip="15) дату включения страховой медицинской организации в реестр страховых медицинских организаций;">
        <w:r>
          <w:rPr>
            <w:sz w:val="24"/>
            <w:color w:val="0000ff"/>
          </w:rPr>
          <w:t xml:space="preserve">15</w:t>
        </w:r>
      </w:hyperlink>
      <w:r>
        <w:rPr>
          <w:sz w:val="24"/>
        </w:rPr>
        <w:t xml:space="preserve">, </w:t>
      </w:r>
      <w:hyperlink w:history="0" w:anchor="P356" w:tooltip="18) численность застрахованных лиц страховой медицинской организацией в субъекте Российской Федерации на дату подачи уведомления о включении в реестр страховых медицинских организаций, осуществляющих деятельность в сфере обязательного медицинского страхования (далее - уведомление о включении в реестр страховых медицинских организаций);">
        <w:r>
          <w:rPr>
            <w:sz w:val="24"/>
            <w:color w:val="0000ff"/>
          </w:rPr>
          <w:t xml:space="preserve">18</w:t>
        </w:r>
      </w:hyperlink>
      <w:r>
        <w:rPr>
          <w:sz w:val="24"/>
        </w:rPr>
        <w:t xml:space="preserve"> - </w:t>
      </w:r>
      <w:hyperlink w:history="0" w:anchor="P362" w:tooltip="21) сведения о прекращении или досрочном расторжении договора о финансовом обеспечении (дата и причина прекращения или досрочного расторжения).">
        <w:r>
          <w:rPr>
            <w:sz w:val="24"/>
            <w:color w:val="0000ff"/>
          </w:rPr>
          <w:t xml:space="preserve">21 пункта 94</w:t>
        </w:r>
      </w:hyperlink>
      <w:r>
        <w:rPr>
          <w:sz w:val="24"/>
        </w:rPr>
        <w:t xml:space="preserve"> настоящих Правил.</w:t>
      </w:r>
    </w:p>
    <w:p>
      <w:pPr>
        <w:pStyle w:val="0"/>
        <w:spacing w:before="240" w:lineRule="auto"/>
        <w:ind w:firstLine="540"/>
        <w:jc w:val="both"/>
      </w:pPr>
      <w:r>
        <w:rPr>
          <w:sz w:val="24"/>
        </w:rPr>
        <w:t xml:space="preserve">110. Территориальный фонд размещает на своем официальном сайте реестр страховых медицинских организаций, рекомендуемый образец которого приведен в </w:t>
      </w:r>
      <w:hyperlink w:history="0" w:anchor="P1947" w:tooltip="Реестр">
        <w:r>
          <w:rPr>
            <w:sz w:val="24"/>
            <w:color w:val="0000ff"/>
          </w:rPr>
          <w:t xml:space="preserve">приложении N 2</w:t>
        </w:r>
      </w:hyperlink>
      <w:r>
        <w:rPr>
          <w:sz w:val="24"/>
        </w:rPr>
        <w:t xml:space="preserve"> к настоящим Правилам, с указанием сведений, предусмотренных </w:t>
      </w:r>
      <w:hyperlink w:history="0" w:anchor="P340" w:tooltip="2) код страховой медицинской организации в кодировке единого реестра страховых медицинских организаций (далее - реестровый номер);">
        <w:r>
          <w:rPr>
            <w:sz w:val="24"/>
            <w:color w:val="0000ff"/>
          </w:rPr>
          <w:t xml:space="preserve">подпунктами 2</w:t>
        </w:r>
      </w:hyperlink>
      <w:r>
        <w:rPr>
          <w:sz w:val="24"/>
        </w:rPr>
        <w:t xml:space="preserve">, </w:t>
      </w:r>
      <w:hyperlink w:history="0" w:anchor="P341" w:tooltip="3) полное и сокращенное (при наличии) наименования страховой медицинской организации (филиала/представительства) в соответствии с единым государственным реестром юридических лиц (далее - ЕГРЮЛ);">
        <w:r>
          <w:rPr>
            <w:sz w:val="24"/>
            <w:color w:val="0000ff"/>
          </w:rPr>
          <w:t xml:space="preserve">3</w:t>
        </w:r>
      </w:hyperlink>
      <w:r>
        <w:rPr>
          <w:sz w:val="24"/>
        </w:rPr>
        <w:t xml:space="preserve">, </w:t>
      </w:r>
      <w:hyperlink w:history="0" w:anchor="P344" w:tooltip="6) фактический адрес страховой медицинской организации в соответствии с выпиской из ЕГРЮЛ;">
        <w:r>
          <w:rPr>
            <w:sz w:val="24"/>
            <w:color w:val="0000ff"/>
          </w:rPr>
          <w:t xml:space="preserve">6</w:t>
        </w:r>
      </w:hyperlink>
      <w:r>
        <w:rPr>
          <w:sz w:val="24"/>
        </w:rPr>
        <w:t xml:space="preserve">, </w:t>
      </w:r>
      <w:hyperlink w:history="0" w:anchor="P347" w:tooltip="9) идентификационный номер налогоплательщика (далее - ИНН);">
        <w:r>
          <w:rPr>
            <w:sz w:val="24"/>
            <w:color w:val="0000ff"/>
          </w:rPr>
          <w:t xml:space="preserve">9</w:t>
        </w:r>
      </w:hyperlink>
      <w:r>
        <w:rPr>
          <w:sz w:val="24"/>
        </w:rPr>
        <w:t xml:space="preserve"> - </w:t>
      </w:r>
      <w:hyperlink w:history="0" w:anchor="P352" w:tooltip="14) сведения о лицензии на осуществление страхования по виду деятельности - обязательное медицинское страхование (номер, дата выдачи и окончания срока действия, причины прекращения действия лицензии);">
        <w:r>
          <w:rPr>
            <w:sz w:val="24"/>
            <w:color w:val="0000ff"/>
          </w:rPr>
          <w:t xml:space="preserve">14</w:t>
        </w:r>
      </w:hyperlink>
      <w:r>
        <w:rPr>
          <w:sz w:val="24"/>
        </w:rPr>
        <w:t xml:space="preserve">, </w:t>
      </w:r>
      <w:hyperlink w:history="0" w:anchor="P356" w:tooltip="18) численность застрахованных лиц страховой медицинской организацией в субъекте Российской Федерации на дату подачи уведомления о включении в реестр страховых медицинских организаций, осуществляющих деятельность в сфере обязательного медицинского страхования (далее - уведомление о включении в реестр страховых медицинских организаций);">
        <w:r>
          <w:rPr>
            <w:sz w:val="24"/>
            <w:color w:val="0000ff"/>
          </w:rPr>
          <w:t xml:space="preserve">18</w:t>
        </w:r>
      </w:hyperlink>
      <w:r>
        <w:rPr>
          <w:sz w:val="24"/>
        </w:rPr>
        <w:t xml:space="preserve"> - </w:t>
      </w:r>
      <w:hyperlink w:history="0" w:anchor="P362" w:tooltip="21) сведения о прекращении или досрочном расторжении договора о финансовом обеспечении (дата и причина прекращения или досрочного расторжения).">
        <w:r>
          <w:rPr>
            <w:sz w:val="24"/>
            <w:color w:val="0000ff"/>
          </w:rPr>
          <w:t xml:space="preserve">21 пункта 94</w:t>
        </w:r>
      </w:hyperlink>
      <w:r>
        <w:rPr>
          <w:sz w:val="24"/>
        </w:rPr>
        <w:t xml:space="preserve"> настоящих Правил.</w:t>
      </w:r>
    </w:p>
    <w:p>
      <w:pPr>
        <w:pStyle w:val="0"/>
        <w:spacing w:before="240" w:lineRule="auto"/>
        <w:ind w:firstLine="540"/>
        <w:jc w:val="both"/>
      </w:pPr>
      <w:r>
        <w:rPr>
          <w:sz w:val="24"/>
        </w:rPr>
        <w:t xml:space="preserve">111. Территориальный фонд обеспечивает представление в Федеральный фонд изменений, внесенных в реестр страховых медицинских организаций, в день внесения данных изменений и размещение на своем официальном сайте реестра страховых медицинских организаций.</w:t>
      </w:r>
    </w:p>
    <w:p>
      <w:pPr>
        <w:pStyle w:val="0"/>
        <w:spacing w:before="240" w:lineRule="auto"/>
        <w:ind w:firstLine="540"/>
        <w:jc w:val="both"/>
      </w:pPr>
      <w:r>
        <w:rPr>
          <w:sz w:val="24"/>
        </w:rPr>
        <w:t xml:space="preserve">112. Федеральный фонд в соответствии с </w:t>
      </w:r>
      <w:hyperlink w:history="0" r:id="rId95" w:tooltip="Федеральный закон от 29.11.2010 N 326-ФЗ (ред. от 20.02.2026) &quot;Об обязательном медицинском страховании в Российской Федерации&quot; {КонсультантПлюс}">
        <w:r>
          <w:rPr>
            <w:sz w:val="24"/>
            <w:color w:val="0000ff"/>
          </w:rPr>
          <w:t xml:space="preserve">пунктами 3</w:t>
        </w:r>
      </w:hyperlink>
      <w:r>
        <w:rPr>
          <w:sz w:val="24"/>
        </w:rPr>
        <w:t xml:space="preserve"> и </w:t>
      </w:r>
      <w:hyperlink w:history="0" r:id="rId96" w:tooltip="Федеральный закон от 29.11.2010 N 326-ФЗ (ред. от 20.02.2026) &quot;Об обязательном медицинском страховании в Российской Федерации&quot; {КонсультантПлюс}">
        <w:r>
          <w:rPr>
            <w:sz w:val="24"/>
            <w:color w:val="0000ff"/>
          </w:rPr>
          <w:t xml:space="preserve">6 части 2 статьи 7</w:t>
        </w:r>
      </w:hyperlink>
      <w:r>
        <w:rPr>
          <w:sz w:val="24"/>
        </w:rPr>
        <w:t xml:space="preserve"> Федерального закона обеспечивает контроль за соблюдением порядка включения (исключения) страховых медицинских организаций в реестр страховых медицинских организаций и в целях ведения единого реестра страховых медицинских организаций осуществляет проверку ведения территориальным фондом реестра страховых медицинских организаций субъекта Российской Федерации, в том числе установленного настоящей главой порядка включения (исключения) страховых медицинских организаций в (из) реестр (реестра) страховых медицинских организаций, в рамках контроля за соблюдением законодательства об обязательном медицинском страховании и за использованием средств обязательного медицинского страхования, в том числе проводит проверки и ревизии.</w:t>
      </w:r>
    </w:p>
    <w:p>
      <w:pPr>
        <w:pStyle w:val="0"/>
        <w:jc w:val="both"/>
      </w:pPr>
      <w:r>
        <w:rPr>
          <w:sz w:val="24"/>
        </w:rPr>
      </w:r>
    </w:p>
    <w:p>
      <w:pPr>
        <w:pStyle w:val="2"/>
        <w:outlineLvl w:val="1"/>
        <w:jc w:val="center"/>
      </w:pPr>
      <w:r>
        <w:rPr>
          <w:sz w:val="24"/>
        </w:rPr>
        <w:t xml:space="preserve">VI. Ведение единого реестра медицинских</w:t>
      </w:r>
    </w:p>
    <w:p>
      <w:pPr>
        <w:pStyle w:val="2"/>
        <w:jc w:val="center"/>
      </w:pPr>
      <w:r>
        <w:rPr>
          <w:sz w:val="24"/>
        </w:rPr>
        <w:t xml:space="preserve">организаций, осуществляющих деятельность в сфере</w:t>
      </w:r>
    </w:p>
    <w:p>
      <w:pPr>
        <w:pStyle w:val="2"/>
        <w:jc w:val="center"/>
      </w:pPr>
      <w:r>
        <w:rPr>
          <w:sz w:val="24"/>
        </w:rPr>
        <w:t xml:space="preserve">обязательного медицинского страхования, и реестра</w:t>
      </w:r>
    </w:p>
    <w:p>
      <w:pPr>
        <w:pStyle w:val="2"/>
        <w:jc w:val="center"/>
      </w:pPr>
      <w:r>
        <w:rPr>
          <w:sz w:val="24"/>
        </w:rPr>
        <w:t xml:space="preserve">медицинских организаций, осуществляющих деятельность в сфере</w:t>
      </w:r>
    </w:p>
    <w:p>
      <w:pPr>
        <w:pStyle w:val="2"/>
        <w:jc w:val="center"/>
      </w:pPr>
      <w:r>
        <w:rPr>
          <w:sz w:val="24"/>
        </w:rPr>
        <w:t xml:space="preserve">обязательного медицинского страхования по территориальным</w:t>
      </w:r>
    </w:p>
    <w:p>
      <w:pPr>
        <w:pStyle w:val="2"/>
        <w:jc w:val="center"/>
      </w:pPr>
      <w:r>
        <w:rPr>
          <w:sz w:val="24"/>
        </w:rPr>
        <w:t xml:space="preserve">программам обязательного медицинского страхования</w:t>
      </w:r>
    </w:p>
    <w:p>
      <w:pPr>
        <w:pStyle w:val="0"/>
        <w:jc w:val="both"/>
      </w:pPr>
      <w:r>
        <w:rPr>
          <w:sz w:val="24"/>
        </w:rPr>
      </w:r>
    </w:p>
    <w:p>
      <w:pPr>
        <w:pStyle w:val="0"/>
        <w:ind w:firstLine="540"/>
        <w:jc w:val="both"/>
      </w:pPr>
      <w:r>
        <w:rPr>
          <w:sz w:val="24"/>
        </w:rPr>
        <w:t xml:space="preserve">113. Единый реестр медицинских организаций, осуществляющих деятельность в сфере обязательного медицинского страхования (далее - единый реестр медицинских организаций), в соответствии с </w:t>
      </w:r>
      <w:hyperlink w:history="0" r:id="rId97" w:tooltip="Федеральный закон от 29.11.2010 N 326-ФЗ (ред. от 20.02.2026) &quot;Об обязательном медицинском страховании в Российской Федерации&quot; {КонсультантПлюс}">
        <w:r>
          <w:rPr>
            <w:sz w:val="24"/>
            <w:color w:val="0000ff"/>
          </w:rPr>
          <w:t xml:space="preserve">частью 1 статьи 15</w:t>
        </w:r>
      </w:hyperlink>
      <w:r>
        <w:rPr>
          <w:sz w:val="24"/>
        </w:rPr>
        <w:t xml:space="preserve"> Федерального закона включает в себя сведения о медицинских организациях, функции и полномочия учредителя в отношении которых осуществляют Правительство Российской Федерации или федеральные органы исполнительной власти, оказывающих медицинскую помощь, финансовое обеспечение которой осуществляется в соответствии с </w:t>
      </w:r>
      <w:hyperlink w:history="0" r:id="rId98" w:tooltip="Федеральный закон от 29.11.2010 N 326-ФЗ (ред. от 20.02.2026) &quot;Об обязательном медицинском страховании в Российской Федерации&quot; {КонсультантПлюс}">
        <w:r>
          <w:rPr>
            <w:sz w:val="24"/>
            <w:color w:val="0000ff"/>
          </w:rPr>
          <w:t xml:space="preserve">пунктом 11 статьи 5</w:t>
        </w:r>
      </w:hyperlink>
      <w:r>
        <w:rPr>
          <w:sz w:val="24"/>
        </w:rPr>
        <w:t xml:space="preserve"> Федерального закона, и реестры медицинских организаций, осуществляющих деятельность в сфере обязательного медицинского страхования по территориальным программам обязательного медицинского страхования (далее - реестр медицинских организаций, осуществляющих деятельность в сфере обязательного медицинского страхования).</w:t>
      </w:r>
    </w:p>
    <w:p>
      <w:pPr>
        <w:pStyle w:val="0"/>
        <w:spacing w:before="240" w:lineRule="auto"/>
        <w:ind w:firstLine="540"/>
        <w:jc w:val="both"/>
      </w:pPr>
      <w:r>
        <w:rPr>
          <w:sz w:val="24"/>
        </w:rPr>
        <w:t xml:space="preserve">114. Ведение единого реестра медицинских организаций в соответствии с </w:t>
      </w:r>
      <w:hyperlink w:history="0" r:id="rId99" w:tooltip="Федеральный закон от 29.11.2010 N 326-ФЗ (ред. от 20.02.2026) &quot;Об обязательном медицинском страховании в Российской Федерации&quot; {КонсультантПлюс}">
        <w:r>
          <w:rPr>
            <w:sz w:val="24"/>
            <w:color w:val="0000ff"/>
          </w:rPr>
          <w:t xml:space="preserve">пунктом 10 части 8 статьи 33</w:t>
        </w:r>
      </w:hyperlink>
      <w:r>
        <w:rPr>
          <w:sz w:val="24"/>
        </w:rPr>
        <w:t xml:space="preserve"> Федерального закона осуществляется Федеральным фондом на русском языке в электронном виде в государственной информационной системе обязательного медицинского страхования путем формирования и внесения изменений в записи единого реестра медицинских организаций. Рекомендуемый образец единого реестра медицинских организаций приведен в </w:t>
      </w:r>
      <w:hyperlink w:history="0" w:anchor="P2132" w:tooltip="Единый реестр">
        <w:r>
          <w:rPr>
            <w:sz w:val="24"/>
            <w:color w:val="0000ff"/>
          </w:rPr>
          <w:t xml:space="preserve">приложении N 4</w:t>
        </w:r>
      </w:hyperlink>
      <w:r>
        <w:rPr>
          <w:sz w:val="24"/>
        </w:rPr>
        <w:t xml:space="preserve"> к настоящим Правилам.</w:t>
      </w:r>
    </w:p>
    <w:p>
      <w:pPr>
        <w:pStyle w:val="0"/>
        <w:spacing w:before="240" w:lineRule="auto"/>
        <w:ind w:firstLine="540"/>
        <w:jc w:val="both"/>
      </w:pPr>
      <w:r>
        <w:rPr>
          <w:sz w:val="24"/>
        </w:rPr>
        <w:t xml:space="preserve">115. Единый реестр медицинских организаций содержит следующие сведения о медицинской организации, функции и полномочия учредителя в отношении которых осуществляют Правительство Российской Федерации или федеральные органы исполнительной власти, оказывающей медицинскую помощь, финансовое обеспечение которой осуществляется в соответствии с </w:t>
      </w:r>
      <w:hyperlink w:history="0" r:id="rId100" w:tooltip="Федеральный закон от 29.11.2010 N 326-ФЗ (ред. от 20.02.2026) &quot;Об обязательном медицинском страховании в Российской Федерации&quot; {КонсультантПлюс}">
        <w:r>
          <w:rPr>
            <w:sz w:val="24"/>
            <w:color w:val="0000ff"/>
          </w:rPr>
          <w:t xml:space="preserve">пунктом 11 статьи 5</w:t>
        </w:r>
      </w:hyperlink>
      <w:r>
        <w:rPr>
          <w:sz w:val="24"/>
        </w:rPr>
        <w:t xml:space="preserve"> Федерального закона, и медицинской организации (индивидуальном предпринимателе, осуществляющем медицинскую деятельность, обособленном структурном подразделении медицинской организации), включенной в реестр медицинских организаций, осуществляющих деятельность в сфере обязательного медицинского страхования:</w:t>
      </w:r>
    </w:p>
    <w:bookmarkStart w:id="411" w:name="P411"/>
    <w:bookmarkEnd w:id="411"/>
    <w:p>
      <w:pPr>
        <w:pStyle w:val="0"/>
        <w:spacing w:before="240" w:lineRule="auto"/>
        <w:ind w:firstLine="540"/>
        <w:jc w:val="both"/>
      </w:pPr>
      <w:r>
        <w:rPr>
          <w:sz w:val="24"/>
        </w:rPr>
        <w:t xml:space="preserve">1) код медицинской организации (уникальный номер записи единого реестра медицинских организаций, в которой содержатся сведения о медицинской организации) (индивидуального предпринимателя, осуществляющего медицинскую деятельность) (далее - реестровый номер медицинской организации);</w:t>
      </w:r>
    </w:p>
    <w:p>
      <w:pPr>
        <w:pStyle w:val="0"/>
        <w:spacing w:before="240" w:lineRule="auto"/>
        <w:ind w:firstLine="540"/>
        <w:jc w:val="both"/>
      </w:pPr>
      <w:r>
        <w:rPr>
          <w:sz w:val="24"/>
        </w:rPr>
        <w:t xml:space="preserve">2) полное и сокращенное (при наличии) наименования медицинской организации в соответствии со сведениями ЕГРЮЛ;</w:t>
      </w:r>
    </w:p>
    <w:p>
      <w:pPr>
        <w:pStyle w:val="0"/>
        <w:spacing w:before="240" w:lineRule="auto"/>
        <w:ind w:firstLine="540"/>
        <w:jc w:val="both"/>
      </w:pPr>
      <w:r>
        <w:rPr>
          <w:sz w:val="24"/>
        </w:rPr>
        <w:t xml:space="preserve">3) фамилию, имя, отчество (при наличии) индивидуального предпринимателя, осуществляющего медицинскую деятельность, в соответствии со сведениями Единого государственного реестра индивидуальных предпринимателей (далее - ЕГРИП);</w:t>
      </w:r>
    </w:p>
    <w:p>
      <w:pPr>
        <w:pStyle w:val="0"/>
        <w:spacing w:before="240" w:lineRule="auto"/>
        <w:ind w:firstLine="540"/>
        <w:jc w:val="both"/>
      </w:pPr>
      <w:r>
        <w:rPr>
          <w:sz w:val="24"/>
        </w:rPr>
        <w:t xml:space="preserve">4) ИНН медицинской организации (индивидуального предпринимателя) в соответствии со свидетельством о постановке на учет в налоговом органе;</w:t>
      </w:r>
    </w:p>
    <w:p>
      <w:pPr>
        <w:pStyle w:val="0"/>
        <w:spacing w:before="240" w:lineRule="auto"/>
        <w:ind w:firstLine="540"/>
        <w:jc w:val="both"/>
      </w:pPr>
      <w:r>
        <w:rPr>
          <w:sz w:val="24"/>
        </w:rPr>
        <w:t xml:space="preserve">5) КПП медицинской организации в соответствии со свидетельством о постановке на учет в налоговом органе;</w:t>
      </w:r>
    </w:p>
    <w:p>
      <w:pPr>
        <w:pStyle w:val="0"/>
        <w:spacing w:before="240" w:lineRule="auto"/>
        <w:ind w:firstLine="540"/>
        <w:jc w:val="both"/>
      </w:pPr>
      <w:r>
        <w:rPr>
          <w:sz w:val="24"/>
        </w:rPr>
        <w:t xml:space="preserve">6) ОГРН медицинской организации;</w:t>
      </w:r>
    </w:p>
    <w:bookmarkStart w:id="417" w:name="P417"/>
    <w:bookmarkEnd w:id="417"/>
    <w:p>
      <w:pPr>
        <w:pStyle w:val="0"/>
        <w:spacing w:before="240" w:lineRule="auto"/>
        <w:ind w:firstLine="540"/>
        <w:jc w:val="both"/>
      </w:pPr>
      <w:r>
        <w:rPr>
          <w:sz w:val="24"/>
        </w:rPr>
        <w:t xml:space="preserve">7) код организационно-правовой формы медицинской организации в соответствии с Общероссийским </w:t>
      </w:r>
      <w:hyperlink w:history="0" r:id="rId101" w:tooltip="&quot;ОК 028-2012. Общероссийский классификатор организационно-правовых форм&quot; (утв. Приказом Росстандарта от 16.10.2012 N 505-ст) (ред. от 30.07.2025) (вместе с &quot;Пояснениями к позициям ОКОПФ&quot;) {КонсультантПлюс}">
        <w:r>
          <w:rPr>
            <w:sz w:val="24"/>
            <w:color w:val="0000ff"/>
          </w:rPr>
          <w:t xml:space="preserve">классификатором</w:t>
        </w:r>
      </w:hyperlink>
      <w:r>
        <w:rPr>
          <w:sz w:val="24"/>
        </w:rPr>
        <w:t xml:space="preserve"> организационно-правовых форм (ОКОПФ);</w:t>
      </w:r>
    </w:p>
    <w:p>
      <w:pPr>
        <w:pStyle w:val="0"/>
        <w:spacing w:before="240" w:lineRule="auto"/>
        <w:ind w:firstLine="540"/>
        <w:jc w:val="both"/>
      </w:pPr>
      <w:r>
        <w:rPr>
          <w:sz w:val="24"/>
        </w:rPr>
        <w:t xml:space="preserve">8) код формы собственности медицинской организации в соответствии с Общероссийским </w:t>
      </w:r>
      <w:hyperlink w:history="0" r:id="rId102" w:tooltip="Постановление Госстандарта России от 30.03.1999 N 97 (ред. от 22.09.2023) &quot;О принятии и введении в действие Общероссийских классификаторов&quot; (вместе с &quot;ОК 027-99. Общероссийский классификатор форм собственности&quot;) (дата введения 01.01.2000) {КонсультантПлюс}">
        <w:r>
          <w:rPr>
            <w:sz w:val="24"/>
            <w:color w:val="0000ff"/>
          </w:rPr>
          <w:t xml:space="preserve">классификатором</w:t>
        </w:r>
      </w:hyperlink>
      <w:r>
        <w:rPr>
          <w:sz w:val="24"/>
        </w:rPr>
        <w:t xml:space="preserve"> форм собственности (ОКФС);</w:t>
      </w:r>
    </w:p>
    <w:p>
      <w:pPr>
        <w:pStyle w:val="0"/>
        <w:spacing w:before="240" w:lineRule="auto"/>
        <w:ind w:firstLine="540"/>
        <w:jc w:val="both"/>
      </w:pPr>
      <w:r>
        <w:rPr>
          <w:sz w:val="24"/>
        </w:rPr>
        <w:t xml:space="preserve">9) сведения об учредителе (учредителях) медицинской организации, являющейся государственным (муниципальным) учреждением:</w:t>
      </w:r>
    </w:p>
    <w:p>
      <w:pPr>
        <w:pStyle w:val="0"/>
        <w:spacing w:before="240" w:lineRule="auto"/>
        <w:ind w:firstLine="540"/>
        <w:jc w:val="both"/>
      </w:pPr>
      <w:r>
        <w:rPr>
          <w:sz w:val="24"/>
        </w:rPr>
        <w:t xml:space="preserve">полное и сокращенное (при наличии) наименования учредителя медицинской организации в соответствии со сведениями ЕГРЮЛ;</w:t>
      </w:r>
    </w:p>
    <w:p>
      <w:pPr>
        <w:pStyle w:val="0"/>
        <w:spacing w:before="240" w:lineRule="auto"/>
        <w:ind w:firstLine="540"/>
        <w:jc w:val="both"/>
      </w:pPr>
      <w:r>
        <w:rPr>
          <w:sz w:val="24"/>
        </w:rPr>
        <w:t xml:space="preserve">ИНН учредителя медицинской организации в соответствии со свидетельством о постановке на учет в налоговом органе;</w:t>
      </w:r>
    </w:p>
    <w:p>
      <w:pPr>
        <w:pStyle w:val="0"/>
        <w:spacing w:before="240" w:lineRule="auto"/>
        <w:ind w:firstLine="540"/>
        <w:jc w:val="both"/>
      </w:pPr>
      <w:r>
        <w:rPr>
          <w:sz w:val="24"/>
        </w:rPr>
        <w:t xml:space="preserve">КПП учредителя медицинской организации в соответствии со свидетельством о постановке на учет в налоговом органе;</w:t>
      </w:r>
    </w:p>
    <w:p>
      <w:pPr>
        <w:pStyle w:val="0"/>
        <w:spacing w:before="240" w:lineRule="auto"/>
        <w:ind w:firstLine="540"/>
        <w:jc w:val="both"/>
      </w:pPr>
      <w:r>
        <w:rPr>
          <w:sz w:val="24"/>
        </w:rPr>
        <w:t xml:space="preserve">наименование публично-правового образования, от имени которого действует учредитель медицинской организации;</w:t>
      </w:r>
    </w:p>
    <w:p>
      <w:pPr>
        <w:pStyle w:val="0"/>
        <w:spacing w:before="240" w:lineRule="auto"/>
        <w:ind w:firstLine="540"/>
        <w:jc w:val="both"/>
      </w:pPr>
      <w:r>
        <w:rPr>
          <w:sz w:val="24"/>
        </w:rPr>
        <w:t xml:space="preserve">код территории публично-правового образования, от имени которого действует учредитель медицинской организации, в соответствии с Общероссийским </w:t>
      </w:r>
      <w:hyperlink w:history="0" r:id="rId103" w:tooltip="&quot;ОК 033-2013. Общероссийский классификатор территорий муниципальных образований&quot; (Том 1. Центральный федеральный округ) (утв. Приказом Росстандарта от 14.06.2013 N 159-ст) (с учетом Изменений 1/2013 - 923/2025) {КонсультантПлюс}">
        <w:r>
          <w:rPr>
            <w:sz w:val="24"/>
            <w:color w:val="0000ff"/>
          </w:rPr>
          <w:t xml:space="preserve">классификатором</w:t>
        </w:r>
      </w:hyperlink>
      <w:r>
        <w:rPr>
          <w:sz w:val="24"/>
        </w:rPr>
        <w:t xml:space="preserve"> территорий муниципальных образований (ОКТМО);</w:t>
      </w:r>
    </w:p>
    <w:bookmarkStart w:id="425" w:name="P425"/>
    <w:bookmarkEnd w:id="425"/>
    <w:p>
      <w:pPr>
        <w:pStyle w:val="0"/>
        <w:spacing w:before="240" w:lineRule="auto"/>
        <w:ind w:firstLine="540"/>
        <w:jc w:val="both"/>
      </w:pPr>
      <w:r>
        <w:rPr>
          <w:sz w:val="24"/>
        </w:rPr>
        <w:t xml:space="preserve">10) вид медицинской организации в соответствии с </w:t>
      </w:r>
      <w:hyperlink w:history="0" r:id="rId104" w:tooltip="Приказ Минздрава России от 06.08.2013 N 529н (ред. от 19.02.2020) &quot;Об утверждении номенклатуры медицинских организаций&quot; (Зарегистрировано в Минюсте России 13.09.2013 N 29950) {КонсультантПлюс}">
        <w:r>
          <w:rPr>
            <w:sz w:val="24"/>
            <w:color w:val="0000ff"/>
          </w:rPr>
          <w:t xml:space="preserve">номенклатурой</w:t>
        </w:r>
      </w:hyperlink>
      <w:r>
        <w:rPr>
          <w:sz w:val="24"/>
        </w:rPr>
        <w:t xml:space="preserve"> медицинских организаций &lt;14&gt;;</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&lt;14&gt; Утверждена </w:t>
      </w:r>
      <w:hyperlink w:history="0" r:id="rId105" w:tooltip="Приказ Минздрава России от 06.08.2013 N 529н (ред. от 19.02.2020) &quot;Об утверждении номенклатуры медицинских организаций&quot; (Зарегистрировано в Минюсте России 13.09.2013 N 29950) {КонсультантПлюс}">
        <w:r>
          <w:rPr>
            <w:sz w:val="24"/>
            <w:color w:val="0000ff"/>
          </w:rPr>
          <w:t xml:space="preserve">приказом</w:t>
        </w:r>
      </w:hyperlink>
      <w:r>
        <w:rPr>
          <w:sz w:val="24"/>
        </w:rPr>
        <w:t xml:space="preserve"> Министерства здравоохранения Российской Федерации от 6 августа 2013 г. N 529н "Об утверждении номенклатуры медицинских организаций" (зарегистрирован Министерством юстиции Российской Федерации 13 сентября 2013 г., регистрационный N 29950) с изменениями, внесенными приказами Министерства здравоохранения Российской Федерации от 8 августа 2019 г. N 615н (зарегистрирован Министерством юстиции Российской Федерации 2 октября 2019 г., регистрационный N 56107) и от 19 февраля 2020 г. N 106н (зарегистрирован Министерством юстиции Российской Федерации 24 марта 2020 г., регистрационный N 57825) (далее - приказ Министерства здравоохранения Российской Федерации от 6 августа 2013 г. N 529н).</w:t>
      </w:r>
    </w:p>
    <w:p>
      <w:pPr>
        <w:pStyle w:val="0"/>
        <w:jc w:val="both"/>
      </w:pPr>
      <w:r>
        <w:rPr>
          <w:sz w:val="24"/>
        </w:rPr>
      </w:r>
    </w:p>
    <w:bookmarkStart w:id="429" w:name="P429"/>
    <w:bookmarkEnd w:id="429"/>
    <w:p>
      <w:pPr>
        <w:pStyle w:val="0"/>
        <w:ind w:firstLine="540"/>
        <w:jc w:val="both"/>
      </w:pPr>
      <w:r>
        <w:rPr>
          <w:sz w:val="24"/>
        </w:rPr>
        <w:t xml:space="preserve">11) адрес медицинской организации в пределах места нахождения медицинской организации;</w:t>
      </w:r>
    </w:p>
    <w:p>
      <w:pPr>
        <w:pStyle w:val="0"/>
        <w:spacing w:before="240" w:lineRule="auto"/>
        <w:ind w:firstLine="540"/>
        <w:jc w:val="both"/>
      </w:pPr>
      <w:r>
        <w:rPr>
          <w:sz w:val="24"/>
        </w:rPr>
        <w:t xml:space="preserve">12) адрес, по которому индивидуальный предприниматель зарегистрирован по месту жительства в установленном законодательством Российской Федерации порядке (для индивидуальных предпринимателей, осуществляющих медицинскую деятельность);</w:t>
      </w:r>
    </w:p>
    <w:p>
      <w:pPr>
        <w:pStyle w:val="0"/>
        <w:spacing w:before="240" w:lineRule="auto"/>
        <w:ind w:firstLine="540"/>
        <w:jc w:val="both"/>
      </w:pPr>
      <w:r>
        <w:rPr>
          <w:sz w:val="24"/>
        </w:rPr>
        <w:t xml:space="preserve">13) уникальный номер адреса медицинской организации в пределах места нахождения медицинской организации, адреса, по которому индивидуальный предприниматель зарегистрирован по месту жительства в установленном законодательством Российской Федерации порядке, в государственном адресном реестре;</w:t>
      </w:r>
    </w:p>
    <w:p>
      <w:pPr>
        <w:pStyle w:val="0"/>
        <w:spacing w:before="240" w:lineRule="auto"/>
        <w:ind w:firstLine="540"/>
        <w:jc w:val="both"/>
      </w:pPr>
      <w:r>
        <w:rPr>
          <w:sz w:val="24"/>
        </w:rPr>
        <w:t xml:space="preserve">14) код территории субъекта Российской Федерации, в котором расположена медицинская организация, в котором зарегистрирован по месту жительства в установленном законодательством Российской Федерации порядке индивидуальный предприниматель, по Общероссийскому </w:t>
      </w:r>
      <w:hyperlink w:history="0" r:id="rId106" w:tooltip="&quot;ОК 033-2013. Общероссийский классификатор территорий муниципальных образований&quot; (Том 1. Центральный федеральный округ) (утв. Приказом Росстандарта от 14.06.2013 N 159-ст) (с учетом Изменений 1/2013 - 923/2025) {КонсультантПлюс}">
        <w:r>
          <w:rPr>
            <w:sz w:val="24"/>
            <w:color w:val="0000ff"/>
          </w:rPr>
          <w:t xml:space="preserve">классификатору</w:t>
        </w:r>
      </w:hyperlink>
      <w:r>
        <w:rPr>
          <w:sz w:val="24"/>
        </w:rPr>
        <w:t xml:space="preserve"> территорий муниципальных образований (ОКТМО);</w:t>
      </w:r>
    </w:p>
    <w:p>
      <w:pPr>
        <w:pStyle w:val="0"/>
        <w:spacing w:before="240" w:lineRule="auto"/>
        <w:ind w:firstLine="540"/>
        <w:jc w:val="both"/>
      </w:pPr>
      <w:r>
        <w:rPr>
          <w:sz w:val="24"/>
        </w:rPr>
        <w:t xml:space="preserve">15) адрес электронной почты, номер телефона медицинской организации (индивидуального предпринимателя, осуществляющего медицинскую деятельность);</w:t>
      </w:r>
    </w:p>
    <w:bookmarkStart w:id="434" w:name="P434"/>
    <w:bookmarkEnd w:id="434"/>
    <w:p>
      <w:pPr>
        <w:pStyle w:val="0"/>
        <w:spacing w:before="240" w:lineRule="auto"/>
        <w:ind w:firstLine="540"/>
        <w:jc w:val="both"/>
      </w:pPr>
      <w:r>
        <w:rPr>
          <w:sz w:val="24"/>
        </w:rPr>
        <w:t xml:space="preserve">16) фамилию, имя, отчество (при наличии) руководителя и иных лиц медицинской организации, имеющих право действовать от имени медицинской организации без доверенности;</w:t>
      </w:r>
    </w:p>
    <w:p>
      <w:pPr>
        <w:pStyle w:val="0"/>
        <w:spacing w:before="240" w:lineRule="auto"/>
        <w:ind w:firstLine="540"/>
        <w:jc w:val="both"/>
      </w:pPr>
      <w:r>
        <w:rPr>
          <w:sz w:val="24"/>
        </w:rPr>
        <w:t xml:space="preserve">17) банковские реквизиты медицинской организации;</w:t>
      </w:r>
    </w:p>
    <w:p>
      <w:pPr>
        <w:pStyle w:val="0"/>
        <w:spacing w:before="240" w:lineRule="auto"/>
        <w:ind w:firstLine="540"/>
        <w:jc w:val="both"/>
      </w:pPr>
      <w:r>
        <w:rPr>
          <w:sz w:val="24"/>
        </w:rPr>
        <w:t xml:space="preserve">18) сведения о лицензии на осуществление медицинской деятельности:</w:t>
      </w:r>
    </w:p>
    <w:p>
      <w:pPr>
        <w:pStyle w:val="0"/>
        <w:spacing w:before="240" w:lineRule="auto"/>
        <w:ind w:firstLine="540"/>
        <w:jc w:val="both"/>
      </w:pPr>
      <w:r>
        <w:rPr>
          <w:sz w:val="24"/>
        </w:rPr>
        <w:t xml:space="preserve">наименование лицензирующего органа;</w:t>
      </w:r>
    </w:p>
    <w:p>
      <w:pPr>
        <w:pStyle w:val="0"/>
        <w:spacing w:before="240" w:lineRule="auto"/>
        <w:ind w:firstLine="540"/>
        <w:jc w:val="both"/>
      </w:pPr>
      <w:r>
        <w:rPr>
          <w:sz w:val="24"/>
        </w:rPr>
        <w:t xml:space="preserve">адреса мест осуществления медицинской деятельности;</w:t>
      </w:r>
    </w:p>
    <w:p>
      <w:pPr>
        <w:pStyle w:val="0"/>
        <w:spacing w:before="240" w:lineRule="auto"/>
        <w:ind w:firstLine="540"/>
        <w:jc w:val="both"/>
      </w:pPr>
      <w:r>
        <w:rPr>
          <w:sz w:val="24"/>
        </w:rPr>
        <w:t xml:space="preserve">оказываемые медицинские услуги (выполняемых работ);</w:t>
      </w:r>
    </w:p>
    <w:p>
      <w:pPr>
        <w:pStyle w:val="0"/>
        <w:spacing w:before="240" w:lineRule="auto"/>
        <w:ind w:firstLine="540"/>
        <w:jc w:val="both"/>
      </w:pPr>
      <w:r>
        <w:rPr>
          <w:sz w:val="24"/>
        </w:rPr>
        <w:t xml:space="preserve">номер и дата регистрации лицензии на осуществление медицинской деятельности;</w:t>
      </w:r>
    </w:p>
    <w:p>
      <w:pPr>
        <w:pStyle w:val="0"/>
        <w:spacing w:before="240" w:lineRule="auto"/>
        <w:ind w:firstLine="540"/>
        <w:jc w:val="both"/>
      </w:pPr>
      <w:r>
        <w:rPr>
          <w:sz w:val="24"/>
        </w:rPr>
        <w:t xml:space="preserve">19) сведения об обособленных структурных подразделениях медицинской организации (при наличии):</w:t>
      </w:r>
    </w:p>
    <w:p>
      <w:pPr>
        <w:pStyle w:val="0"/>
        <w:spacing w:before="240" w:lineRule="auto"/>
        <w:ind w:firstLine="540"/>
        <w:jc w:val="both"/>
      </w:pPr>
      <w:r>
        <w:rPr>
          <w:sz w:val="24"/>
        </w:rPr>
        <w:t xml:space="preserve">код обособленного структурного подразделения медицинской организации (уникальный номер записи единого реестра медицинских организаций, содержащий сведения об обособленном структурном подразделении медицинской организации (далее - реестровый номер обособленного структурного подразделения медицинской организации);</w:t>
      </w:r>
    </w:p>
    <w:p>
      <w:pPr>
        <w:pStyle w:val="0"/>
        <w:spacing w:before="240" w:lineRule="auto"/>
        <w:ind w:firstLine="540"/>
        <w:jc w:val="both"/>
      </w:pPr>
      <w:r>
        <w:rPr>
          <w:sz w:val="24"/>
        </w:rPr>
        <w:t xml:space="preserve">полное наименование обособленного структурного подразделения медицинской организации в соответствии со сведениями ЕГРЮЛ;</w:t>
      </w:r>
    </w:p>
    <w:p>
      <w:pPr>
        <w:pStyle w:val="0"/>
        <w:spacing w:before="240" w:lineRule="auto"/>
        <w:ind w:firstLine="540"/>
        <w:jc w:val="both"/>
      </w:pPr>
      <w:r>
        <w:rPr>
          <w:sz w:val="24"/>
        </w:rPr>
        <w:t xml:space="preserve">КПП обособленного структурного подразделения медицинской организации в соответствии со свидетельством о постановке на учет в налоговом органе;</w:t>
      </w:r>
    </w:p>
    <w:p>
      <w:pPr>
        <w:pStyle w:val="0"/>
        <w:spacing w:before="240" w:lineRule="auto"/>
        <w:ind w:firstLine="540"/>
        <w:jc w:val="both"/>
      </w:pPr>
      <w:r>
        <w:rPr>
          <w:sz w:val="24"/>
        </w:rPr>
        <w:t xml:space="preserve">адрес обособленного структурного подразделения медицинской организации в пределах места нахождения обособленного структурного подразделения медицинской организации, уникальный номер адреса в государственном адресном реестре;</w:t>
      </w:r>
    </w:p>
    <w:p>
      <w:pPr>
        <w:pStyle w:val="0"/>
        <w:spacing w:before="240" w:lineRule="auto"/>
        <w:ind w:firstLine="540"/>
        <w:jc w:val="both"/>
      </w:pPr>
      <w:r>
        <w:rPr>
          <w:sz w:val="24"/>
        </w:rPr>
        <w:t xml:space="preserve">адрес электронной почты, номер телефона обособленного структурного подразделения медицинской организации;</w:t>
      </w:r>
    </w:p>
    <w:p>
      <w:pPr>
        <w:pStyle w:val="0"/>
        <w:spacing w:before="240" w:lineRule="auto"/>
        <w:ind w:firstLine="540"/>
        <w:jc w:val="both"/>
      </w:pPr>
      <w:r>
        <w:rPr>
          <w:sz w:val="24"/>
        </w:rPr>
        <w:t xml:space="preserve">перечень территориальных программ, в реализации которых участвует обособленное структурное подразделение медицинской организации;</w:t>
      </w:r>
    </w:p>
    <w:p>
      <w:pPr>
        <w:pStyle w:val="0"/>
        <w:spacing w:before="240" w:lineRule="auto"/>
        <w:ind w:firstLine="540"/>
        <w:jc w:val="both"/>
      </w:pPr>
      <w:r>
        <w:rPr>
          <w:sz w:val="24"/>
        </w:rPr>
        <w:t xml:space="preserve">наименование субъектов Российской Федерации, в реализации территориальных программ которых участвует обособленное структурное подразделение медицинской организации;</w:t>
      </w:r>
    </w:p>
    <w:p>
      <w:pPr>
        <w:pStyle w:val="0"/>
        <w:spacing w:before="240" w:lineRule="auto"/>
        <w:ind w:firstLine="540"/>
        <w:jc w:val="both"/>
      </w:pPr>
      <w:r>
        <w:rPr>
          <w:sz w:val="24"/>
        </w:rPr>
        <w:t xml:space="preserve">коды территорий субъектов Российской Федерации, в реализации территориальных программ которых участвует обособленное структурное подразделение медицинской организации (индивидуальный предприниматель, осуществляющий медицинскую деятельность), по Общероссийскому </w:t>
      </w:r>
      <w:hyperlink w:history="0" r:id="rId107" w:tooltip="&quot;ОК 033-2013. Общероссийский классификатор территорий муниципальных образований&quot; (Том 1. Центральный федеральный округ) (утв. Приказом Росстандарта от 14.06.2013 N 159-ст) (с учетом Изменений 1/2013 - 923/2025) {КонсультантПлюс}">
        <w:r>
          <w:rPr>
            <w:sz w:val="24"/>
            <w:color w:val="0000ff"/>
          </w:rPr>
          <w:t xml:space="preserve">классификатору</w:t>
        </w:r>
      </w:hyperlink>
      <w:r>
        <w:rPr>
          <w:sz w:val="24"/>
        </w:rPr>
        <w:t xml:space="preserve"> территорий муниципальных образований (ОКТМО);</w:t>
      </w:r>
    </w:p>
    <w:p>
      <w:pPr>
        <w:pStyle w:val="0"/>
        <w:spacing w:before="240" w:lineRule="auto"/>
        <w:ind w:firstLine="540"/>
        <w:jc w:val="both"/>
      </w:pPr>
      <w:r>
        <w:rPr>
          <w:sz w:val="24"/>
        </w:rPr>
        <w:t xml:space="preserve">сведения об участии обособленного структурного подразделения медицинской организации в оказании медицинской помощи, финансовое обеспечение которой осуществляется в соответствии с </w:t>
      </w:r>
      <w:hyperlink w:history="0" r:id="rId108" w:tooltip="Федеральный закон от 29.11.2010 N 326-ФЗ (ред. от 20.02.2026) &quot;Об обязательном медицинском страховании в Российской Федерации&quot; {КонсультантПлюс}">
        <w:r>
          <w:rPr>
            <w:sz w:val="24"/>
            <w:color w:val="0000ff"/>
          </w:rPr>
          <w:t xml:space="preserve">пунктом 11 статьи 5</w:t>
        </w:r>
      </w:hyperlink>
      <w:r>
        <w:rPr>
          <w:sz w:val="24"/>
        </w:rPr>
        <w:t xml:space="preserve"> Федерального закона;</w:t>
      </w:r>
    </w:p>
    <w:p>
      <w:pPr>
        <w:pStyle w:val="0"/>
        <w:spacing w:before="240" w:lineRule="auto"/>
        <w:ind w:firstLine="540"/>
        <w:jc w:val="both"/>
      </w:pPr>
      <w:r>
        <w:rPr>
          <w:sz w:val="24"/>
        </w:rPr>
        <w:t xml:space="preserve">банковские реквизиты обособленного структурного подразделения медицинской организации;</w:t>
      </w:r>
    </w:p>
    <w:p>
      <w:pPr>
        <w:pStyle w:val="0"/>
        <w:spacing w:before="240" w:lineRule="auto"/>
        <w:ind w:firstLine="540"/>
        <w:jc w:val="both"/>
      </w:pPr>
      <w:r>
        <w:rPr>
          <w:sz w:val="24"/>
        </w:rPr>
        <w:t xml:space="preserve">фамилию, имя, отчество (при наличии) руководителя обособленного структурного подразделения медицинской организации;</w:t>
      </w:r>
    </w:p>
    <w:p>
      <w:pPr>
        <w:pStyle w:val="0"/>
        <w:spacing w:before="240" w:lineRule="auto"/>
        <w:ind w:firstLine="540"/>
        <w:jc w:val="both"/>
      </w:pPr>
      <w:r>
        <w:rPr>
          <w:sz w:val="24"/>
        </w:rPr>
        <w:t xml:space="preserve">20) сведения об адресах оказания медицинской помощи медицинской организацией, расположенных по данным адресам обособленных структурных подразделениях медицинской организации и (или) наименованиях структурных подразделений, расположенных по данным адресам (при наличии), уникальные номера адресов оказания медицинской помощи в государственном адресном реестре;</w:t>
      </w:r>
    </w:p>
    <w:p>
      <w:pPr>
        <w:pStyle w:val="0"/>
        <w:spacing w:before="240" w:lineRule="auto"/>
        <w:ind w:firstLine="540"/>
        <w:jc w:val="both"/>
      </w:pPr>
      <w:r>
        <w:rPr>
          <w:sz w:val="24"/>
        </w:rPr>
        <w:t xml:space="preserve">21) мощность коечного фонда медицинской организации и количество врачей, участвующих в оказании первичной медико-санитарной помощи, в разрезе профилей и адресов оказания медицинской помощи;</w:t>
      </w:r>
    </w:p>
    <w:bookmarkStart w:id="455" w:name="P455"/>
    <w:bookmarkEnd w:id="455"/>
    <w:p>
      <w:pPr>
        <w:pStyle w:val="0"/>
        <w:spacing w:before="240" w:lineRule="auto"/>
        <w:ind w:firstLine="540"/>
        <w:jc w:val="both"/>
      </w:pPr>
      <w:r>
        <w:rPr>
          <w:sz w:val="24"/>
        </w:rPr>
        <w:t xml:space="preserve">22) наименования субъектов Российской Федерации, в реализации территориальных программ которых участвуют медицинская организация и ее обособленные структурные подразделения;</w:t>
      </w:r>
    </w:p>
    <w:p>
      <w:pPr>
        <w:pStyle w:val="0"/>
        <w:spacing w:before="240" w:lineRule="auto"/>
        <w:ind w:firstLine="540"/>
        <w:jc w:val="both"/>
      </w:pPr>
      <w:r>
        <w:rPr>
          <w:sz w:val="24"/>
        </w:rPr>
        <w:t xml:space="preserve">23) коды территорий субъектов Российской Федерации, в реализации территориальных программ которых участвуют медицинская организация и ее обособленные структурные подразделения, по Общероссийскому </w:t>
      </w:r>
      <w:hyperlink w:history="0" r:id="rId109" w:tooltip="&quot;ОК 033-2013. Общероссийский классификатор территорий муниципальных образований&quot; (Том 1. Центральный федеральный округ) (утв. Приказом Росстандарта от 14.06.2013 N 159-ст) (с учетом Изменений 1/2013 - 923/2025) {КонсультантПлюс}">
        <w:r>
          <w:rPr>
            <w:sz w:val="24"/>
            <w:color w:val="0000ff"/>
          </w:rPr>
          <w:t xml:space="preserve">классификатору</w:t>
        </w:r>
      </w:hyperlink>
      <w:r>
        <w:rPr>
          <w:sz w:val="24"/>
        </w:rPr>
        <w:t xml:space="preserve"> территорий муниципальных образований (ОКТМО);</w:t>
      </w:r>
    </w:p>
    <w:p>
      <w:pPr>
        <w:pStyle w:val="0"/>
        <w:spacing w:before="240" w:lineRule="auto"/>
        <w:ind w:firstLine="540"/>
        <w:jc w:val="both"/>
      </w:pPr>
      <w:r>
        <w:rPr>
          <w:sz w:val="24"/>
        </w:rPr>
        <w:t xml:space="preserve">24) сведения о территориальных программах, в реализации которых участвует медицинская организация;</w:t>
      </w:r>
    </w:p>
    <w:p>
      <w:pPr>
        <w:pStyle w:val="0"/>
        <w:spacing w:before="240" w:lineRule="auto"/>
        <w:ind w:firstLine="540"/>
        <w:jc w:val="both"/>
      </w:pPr>
      <w:r>
        <w:rPr>
          <w:sz w:val="24"/>
        </w:rPr>
        <w:t xml:space="preserve">25) сведения об участии медицинской организации, функции и полномочия учредителей в отношении которой осуществляют Правительство Российской Федерации или федеральные органы исполнительной власти, в оказании медицинской помощи, финансовое обеспечение которой осуществляется в соответствии с </w:t>
      </w:r>
      <w:hyperlink w:history="0" r:id="rId110" w:tooltip="Федеральный закон от 29.11.2010 N 326-ФЗ (ред. от 20.02.2026) &quot;Об обязательном медицинском страховании в Российской Федерации&quot; {КонсультантПлюс}">
        <w:r>
          <w:rPr>
            <w:sz w:val="24"/>
            <w:color w:val="0000ff"/>
          </w:rPr>
          <w:t xml:space="preserve">пунктом 11 статьи 5</w:t>
        </w:r>
      </w:hyperlink>
      <w:r>
        <w:rPr>
          <w:sz w:val="24"/>
        </w:rPr>
        <w:t xml:space="preserve"> Федерального закона;</w:t>
      </w:r>
    </w:p>
    <w:bookmarkStart w:id="459" w:name="P459"/>
    <w:bookmarkEnd w:id="459"/>
    <w:p>
      <w:pPr>
        <w:pStyle w:val="0"/>
        <w:spacing w:before="240" w:lineRule="auto"/>
        <w:ind w:firstLine="540"/>
        <w:jc w:val="both"/>
      </w:pPr>
      <w:r>
        <w:rPr>
          <w:sz w:val="24"/>
        </w:rPr>
        <w:t xml:space="preserve">26) сведения о номерах записей реестров медицинских организаций, осуществляющих деятельность в сфере обязательного медицинского страхования, соответствующих медицинской организации;</w:t>
      </w:r>
    </w:p>
    <w:p>
      <w:pPr>
        <w:pStyle w:val="0"/>
        <w:spacing w:before="240" w:lineRule="auto"/>
        <w:ind w:firstLine="540"/>
        <w:jc w:val="both"/>
      </w:pPr>
      <w:r>
        <w:rPr>
          <w:sz w:val="24"/>
        </w:rPr>
        <w:t xml:space="preserve">27) даты включения медицинской организации в реестры медицинских организаций, осуществляющих деятельность в сфере обязательного медицинского страхования;</w:t>
      </w:r>
    </w:p>
    <w:p>
      <w:pPr>
        <w:pStyle w:val="0"/>
        <w:spacing w:before="240" w:lineRule="auto"/>
        <w:ind w:firstLine="540"/>
        <w:jc w:val="both"/>
      </w:pPr>
      <w:r>
        <w:rPr>
          <w:sz w:val="24"/>
        </w:rPr>
        <w:t xml:space="preserve">28) даты исключения медицинской организации из реестров медицинских организаций, осуществляющих деятельность в сфере обязательного медицинского страхования;</w:t>
      </w:r>
    </w:p>
    <w:p>
      <w:pPr>
        <w:pStyle w:val="0"/>
        <w:spacing w:before="240" w:lineRule="auto"/>
        <w:ind w:firstLine="540"/>
        <w:jc w:val="both"/>
      </w:pPr>
      <w:r>
        <w:rPr>
          <w:sz w:val="24"/>
        </w:rPr>
        <w:t xml:space="preserve">29) причины и основания исключения медицинской организации из реестров медицинских организаций, осуществляющих деятельность в сфере обязательного страхования;</w:t>
      </w:r>
    </w:p>
    <w:p>
      <w:pPr>
        <w:pStyle w:val="0"/>
        <w:spacing w:before="240" w:lineRule="auto"/>
        <w:ind w:firstLine="540"/>
        <w:jc w:val="both"/>
      </w:pPr>
      <w:r>
        <w:rPr>
          <w:sz w:val="24"/>
        </w:rPr>
        <w:t xml:space="preserve">30) сведения о договорах на оказание и оплату медицинской помощи по обязательному медицинскому страхованию, на оказание и оплату медицинской помощи в рамках базовой программы, заключенных с медицинской организацией;</w:t>
      </w:r>
    </w:p>
    <w:bookmarkStart w:id="464" w:name="P464"/>
    <w:bookmarkEnd w:id="464"/>
    <w:p>
      <w:pPr>
        <w:pStyle w:val="0"/>
        <w:spacing w:before="240" w:lineRule="auto"/>
        <w:ind w:firstLine="540"/>
        <w:jc w:val="both"/>
      </w:pPr>
      <w:r>
        <w:rPr>
          <w:sz w:val="24"/>
        </w:rPr>
        <w:t xml:space="preserve">31) сведения о видах, условиях и профилях медицинской помощи, оказываемой медицинской организацией в рамках реализации территориальных программ, и медицинской помощи, финансовое обеспечение которой осуществляется в соответствии с </w:t>
      </w:r>
      <w:hyperlink w:history="0" r:id="rId111" w:tooltip="Федеральный закон от 29.11.2010 N 326-ФЗ (ред. от 20.02.2026) &quot;Об обязательном медицинском страховании в Российской Федерации&quot; {КонсультантПлюс}">
        <w:r>
          <w:rPr>
            <w:sz w:val="24"/>
            <w:color w:val="0000ff"/>
          </w:rPr>
          <w:t xml:space="preserve">частью 11 статьи 5</w:t>
        </w:r>
      </w:hyperlink>
      <w:r>
        <w:rPr>
          <w:sz w:val="24"/>
        </w:rPr>
        <w:t xml:space="preserve"> Федерального закона;</w:t>
      </w:r>
    </w:p>
    <w:p>
      <w:pPr>
        <w:pStyle w:val="0"/>
        <w:spacing w:before="240" w:lineRule="auto"/>
        <w:ind w:firstLine="540"/>
        <w:jc w:val="both"/>
      </w:pPr>
      <w:r>
        <w:rPr>
          <w:sz w:val="24"/>
        </w:rPr>
        <w:t xml:space="preserve">32) сведения об объемах оказания медицинской помощи и ее финансовом обеспечении, распределенных медицинской организации решениями комиссий по разработке территориальной программы обязательного медицинского страхования (далее - Комиссия), положение о деятельности которой приведено в </w:t>
      </w:r>
      <w:hyperlink w:history="0" w:anchor="P2224" w:tooltip="ПОЛОЖЕНИЕ">
        <w:r>
          <w:rPr>
            <w:sz w:val="24"/>
            <w:color w:val="0000ff"/>
          </w:rPr>
          <w:t xml:space="preserve">приложении N 5</w:t>
        </w:r>
      </w:hyperlink>
      <w:r>
        <w:rPr>
          <w:sz w:val="24"/>
        </w:rPr>
        <w:t xml:space="preserve"> к настоящим Правилам, в том числе в разрезе субъектов Российской Федерации и обособленных структурных подразделений медицинской организации (при наличии);</w:t>
      </w:r>
    </w:p>
    <w:p>
      <w:pPr>
        <w:pStyle w:val="0"/>
        <w:spacing w:before="240" w:lineRule="auto"/>
        <w:ind w:firstLine="540"/>
        <w:jc w:val="both"/>
      </w:pPr>
      <w:r>
        <w:rPr>
          <w:sz w:val="24"/>
        </w:rPr>
        <w:t xml:space="preserve">33) сведения об объемах оказания медицинской помощи, финансовое обеспечение которой осуществляется в соответствии с </w:t>
      </w:r>
      <w:hyperlink w:history="0" r:id="rId112" w:tooltip="Федеральный закон от 29.11.2010 N 326-ФЗ (ред. от 20.02.2026) &quot;Об обязательном медицинском страховании в Российской Федерации&quot; {КонсультантПлюс}">
        <w:r>
          <w:rPr>
            <w:sz w:val="24"/>
            <w:color w:val="0000ff"/>
          </w:rPr>
          <w:t xml:space="preserve">частью 11 статьи 5</w:t>
        </w:r>
      </w:hyperlink>
      <w:r>
        <w:rPr>
          <w:sz w:val="24"/>
        </w:rPr>
        <w:t xml:space="preserve"> Федерального закона, распределенных (перераспределенных) медицинской организации в порядке, установленном Правительством Российской Федерации в соответствии с </w:t>
      </w:r>
      <w:hyperlink w:history="0" r:id="rId113" w:tooltip="Федеральный закон от 29.11.2010 N 326-ФЗ (ред. от 20.02.2026) &quot;Об обязательном медицинском страховании в Российской Федерации&quot; {КонсультантПлюс}">
        <w:r>
          <w:rPr>
            <w:sz w:val="24"/>
            <w:color w:val="0000ff"/>
          </w:rPr>
          <w:t xml:space="preserve">частью 3.2 статьи 35</w:t>
        </w:r>
      </w:hyperlink>
      <w:r>
        <w:rPr>
          <w:sz w:val="24"/>
        </w:rPr>
        <w:t xml:space="preserve"> Федерального закона;</w:t>
      </w:r>
    </w:p>
    <w:p>
      <w:pPr>
        <w:pStyle w:val="0"/>
        <w:spacing w:before="240" w:lineRule="auto"/>
        <w:ind w:firstLine="540"/>
        <w:jc w:val="both"/>
      </w:pPr>
      <w:r>
        <w:rPr>
          <w:sz w:val="24"/>
        </w:rPr>
        <w:t xml:space="preserve">34) сведения о способах оплаты медицинской помощи, установленных для медицинской организации в тарифных соглашениях субъектов Российской Федерации, в том числе в разрезе субъектов Российской Федерации и обособленных структурных подразделений медицинской организации (при наличии);</w:t>
      </w:r>
    </w:p>
    <w:p>
      <w:pPr>
        <w:pStyle w:val="0"/>
        <w:spacing w:before="240" w:lineRule="auto"/>
        <w:ind w:firstLine="540"/>
        <w:jc w:val="both"/>
      </w:pPr>
      <w:r>
        <w:rPr>
          <w:sz w:val="24"/>
        </w:rPr>
        <w:t xml:space="preserve">35) сведения о тарифах на оплату медицинской помощи, а также элементах структуры тарифов на оплату медицинской помощи, установленных (или применяемых) для медицинской организации в тарифных соглашениях субъектов Российской Федерации, в том числе в разрезе обособленных структурных подразделений медицинской организации;</w:t>
      </w:r>
    </w:p>
    <w:p>
      <w:pPr>
        <w:pStyle w:val="0"/>
        <w:spacing w:before="240" w:lineRule="auto"/>
        <w:ind w:firstLine="540"/>
        <w:jc w:val="both"/>
      </w:pPr>
      <w:r>
        <w:rPr>
          <w:sz w:val="24"/>
        </w:rPr>
        <w:t xml:space="preserve">36) сведения о тарифах на оплату медицинской помощи, а также элементах структуры тарифов на оплату медицинской помощи, установленных (или применяемых) для медицинской организации в базовой программе обязательного медицинского страхования для оплаты медицинской помощи, финансовое обеспечение которой осуществляется в соответствии с </w:t>
      </w:r>
      <w:hyperlink w:history="0" r:id="rId114" w:tooltip="Федеральный закон от 29.11.2010 N 326-ФЗ (ред. от 20.02.2026) &quot;Об обязательном медицинском страховании в Российской Федерации&quot; {КонсультантПлюс}">
        <w:r>
          <w:rPr>
            <w:sz w:val="24"/>
            <w:color w:val="0000ff"/>
          </w:rPr>
          <w:t xml:space="preserve">частью 11 статьи 5</w:t>
        </w:r>
      </w:hyperlink>
      <w:r>
        <w:rPr>
          <w:sz w:val="24"/>
        </w:rPr>
        <w:t xml:space="preserve"> Федерального закона;</w:t>
      </w:r>
    </w:p>
    <w:p>
      <w:pPr>
        <w:pStyle w:val="0"/>
        <w:spacing w:before="240" w:lineRule="auto"/>
        <w:ind w:firstLine="540"/>
        <w:jc w:val="both"/>
      </w:pPr>
      <w:r>
        <w:rPr>
          <w:sz w:val="24"/>
        </w:rPr>
        <w:t xml:space="preserve">37) фактические показатели деятельности медицинской организации по исполнению территориальных программ и (или) базовой программы, в том числе в разрезе обособленных структурных подразделений медицинской организации;</w:t>
      </w:r>
    </w:p>
    <w:bookmarkStart w:id="471" w:name="P471"/>
    <w:bookmarkEnd w:id="471"/>
    <w:p>
      <w:pPr>
        <w:pStyle w:val="0"/>
        <w:spacing w:before="240" w:lineRule="auto"/>
        <w:ind w:firstLine="540"/>
        <w:jc w:val="both"/>
      </w:pPr>
      <w:r>
        <w:rPr>
          <w:sz w:val="24"/>
        </w:rPr>
        <w:t xml:space="preserve">38) дату исключения медицинской организации, оказывающей медицинскую помощь, финансовое обеспечение которой осуществляется в соответствии с </w:t>
      </w:r>
      <w:hyperlink w:history="0" r:id="rId115" w:tooltip="Федеральный закон от 29.11.2010 N 326-ФЗ (ред. от 20.02.2026) &quot;Об обязательном медицинском страховании в Российской Федерации&quot; {КонсультантПлюс}">
        <w:r>
          <w:rPr>
            <w:sz w:val="24"/>
            <w:color w:val="0000ff"/>
          </w:rPr>
          <w:t xml:space="preserve">частью 11 статьи 5</w:t>
        </w:r>
      </w:hyperlink>
      <w:r>
        <w:rPr>
          <w:sz w:val="24"/>
        </w:rPr>
        <w:t xml:space="preserve"> Федерального закона, на соответствующий год из единого реестра медицинских организаций, и причину ее исключения.</w:t>
      </w:r>
    </w:p>
    <w:p>
      <w:pPr>
        <w:pStyle w:val="0"/>
        <w:spacing w:before="240" w:lineRule="auto"/>
        <w:ind w:firstLine="540"/>
        <w:jc w:val="both"/>
      </w:pPr>
      <w:r>
        <w:rPr>
          <w:sz w:val="24"/>
        </w:rPr>
        <w:t xml:space="preserve">116. Ведение реестра медицинских организаций, осуществляющих деятельность в сфере обязательного медицинского страхования, в соответствии с </w:t>
      </w:r>
      <w:hyperlink w:history="0" r:id="rId116" w:tooltip="Федеральный закон от 29.11.2010 N 326-ФЗ (ред. от 20.02.2026) &quot;Об обязательном медицинском страховании в Российской Федерации&quot; {КонсультантПлюс}">
        <w:r>
          <w:rPr>
            <w:sz w:val="24"/>
            <w:color w:val="0000ff"/>
          </w:rPr>
          <w:t xml:space="preserve">пунктом 15 части 7 статьи 34</w:t>
        </w:r>
      </w:hyperlink>
      <w:r>
        <w:rPr>
          <w:sz w:val="24"/>
        </w:rPr>
        <w:t xml:space="preserve"> Федерального закона осуществляется территориальным фондом на русском языке в электронном виде в государственной информационной системе обязательного медицинского страхования путем формирования и внесения изменений в записи реестра медицинских организаций, осуществляющих деятельность в сфере обязательного медицинского страхования. Рекомендуемый образец реестра медицинских организаций, осуществляющих деятельность в сфере обязательного медицинского страхования, приведен в </w:t>
      </w:r>
      <w:hyperlink w:history="0" w:anchor="P2333" w:tooltip="Реестр">
        <w:r>
          <w:rPr>
            <w:sz w:val="24"/>
            <w:color w:val="0000ff"/>
          </w:rPr>
          <w:t xml:space="preserve">приложении N 6</w:t>
        </w:r>
      </w:hyperlink>
      <w:r>
        <w:rPr>
          <w:sz w:val="24"/>
        </w:rPr>
        <w:t xml:space="preserve"> к настоящим Правилам.</w:t>
      </w:r>
    </w:p>
    <w:p>
      <w:pPr>
        <w:pStyle w:val="0"/>
        <w:spacing w:before="240" w:lineRule="auto"/>
        <w:ind w:firstLine="540"/>
        <w:jc w:val="both"/>
      </w:pPr>
      <w:r>
        <w:rPr>
          <w:sz w:val="24"/>
        </w:rPr>
        <w:t xml:space="preserve">117. Реестр медицинских организаций, осуществляющих деятельность в сфере обязательного медицинского страхования, содержит следующие сведения о медицинской организации (индивидуальном предпринимателе, осуществляющем медицинскую деятельность), осуществляющей деятельность по территориальной программе субъекта Российской Федерации на соответствующий финансовый год:</w:t>
      </w:r>
    </w:p>
    <w:bookmarkStart w:id="474" w:name="P474"/>
    <w:bookmarkEnd w:id="474"/>
    <w:p>
      <w:pPr>
        <w:pStyle w:val="0"/>
        <w:spacing w:before="240" w:lineRule="auto"/>
        <w:ind w:firstLine="540"/>
        <w:jc w:val="both"/>
      </w:pPr>
      <w:r>
        <w:rPr>
          <w:sz w:val="24"/>
        </w:rPr>
        <w:t xml:space="preserve">1) уникальный номер записи реестра медицинских организаций, осуществляющих деятельность в сфере обязательного медицинского страхования, на соответствующий финансовый год по медицинской организации;</w:t>
      </w:r>
    </w:p>
    <w:p>
      <w:pPr>
        <w:pStyle w:val="0"/>
        <w:spacing w:before="240" w:lineRule="auto"/>
        <w:ind w:firstLine="540"/>
        <w:jc w:val="both"/>
      </w:pPr>
      <w:r>
        <w:rPr>
          <w:sz w:val="24"/>
        </w:rPr>
        <w:t xml:space="preserve">2) реестровый номер медицинской организации (индивидуального предпринимателя, осуществляющего медицинскую деятельность);</w:t>
      </w:r>
    </w:p>
    <w:p>
      <w:pPr>
        <w:pStyle w:val="0"/>
        <w:spacing w:before="240" w:lineRule="auto"/>
        <w:ind w:firstLine="540"/>
        <w:jc w:val="both"/>
      </w:pPr>
      <w:r>
        <w:rPr>
          <w:sz w:val="24"/>
        </w:rPr>
        <w:t xml:space="preserve">3) код территории субъекта Российской Федерации в соответствии с Общероссийским </w:t>
      </w:r>
      <w:hyperlink w:history="0" r:id="rId117" w:tooltip="&quot;ОК 033-2013. Общероссийский классификатор территорий муниципальных образований&quot; (Том 1. Центральный федеральный округ) (утв. Приказом Росстандарта от 14.06.2013 N 159-ст) (с учетом Изменений 1/2013 - 923/2025) {КонсультантПлюс}">
        <w:r>
          <w:rPr>
            <w:sz w:val="24"/>
            <w:color w:val="0000ff"/>
          </w:rPr>
          <w:t xml:space="preserve">классификатором</w:t>
        </w:r>
      </w:hyperlink>
      <w:r>
        <w:rPr>
          <w:sz w:val="24"/>
        </w:rPr>
        <w:t xml:space="preserve"> территорий муниципальных образований (ОКТМО), в реализации территориальной программы которого участвует медицинская организация;</w:t>
      </w:r>
    </w:p>
    <w:bookmarkStart w:id="477" w:name="P477"/>
    <w:bookmarkEnd w:id="477"/>
    <w:p>
      <w:pPr>
        <w:pStyle w:val="0"/>
        <w:spacing w:before="240" w:lineRule="auto"/>
        <w:ind w:firstLine="540"/>
        <w:jc w:val="both"/>
      </w:pPr>
      <w:r>
        <w:rPr>
          <w:sz w:val="24"/>
        </w:rPr>
        <w:t xml:space="preserve">4) полное и сокращенное (при наличии) наименования медицинской организации в соответствии со сведениями ЕГРЮЛ;</w:t>
      </w:r>
    </w:p>
    <w:p>
      <w:pPr>
        <w:pStyle w:val="0"/>
        <w:spacing w:before="240" w:lineRule="auto"/>
        <w:ind w:firstLine="540"/>
        <w:jc w:val="both"/>
      </w:pPr>
      <w:r>
        <w:rPr>
          <w:sz w:val="24"/>
        </w:rPr>
        <w:t xml:space="preserve">фамилию, имя, отчество (при наличии) индивидуального предпринимателя, осуществляющего медицинскую деятельность, в соответствии со сведениями ЕГРИП;</w:t>
      </w:r>
    </w:p>
    <w:p>
      <w:pPr>
        <w:pStyle w:val="0"/>
        <w:spacing w:before="240" w:lineRule="auto"/>
        <w:ind w:firstLine="540"/>
        <w:jc w:val="both"/>
      </w:pPr>
      <w:r>
        <w:rPr>
          <w:sz w:val="24"/>
        </w:rPr>
        <w:t xml:space="preserve">5) ИНН медицинской организации (индивидуального предпринимателя) в соответствии со свидетельством о постановке на учет в налоговом органе;</w:t>
      </w:r>
    </w:p>
    <w:p>
      <w:pPr>
        <w:pStyle w:val="0"/>
        <w:spacing w:before="240" w:lineRule="auto"/>
        <w:ind w:firstLine="540"/>
        <w:jc w:val="both"/>
      </w:pPr>
      <w:r>
        <w:rPr>
          <w:sz w:val="24"/>
        </w:rPr>
        <w:t xml:space="preserve">6) КПП медицинской организации в соответствии со свидетельством о постановке на учет в налоговом органе;</w:t>
      </w:r>
    </w:p>
    <w:p>
      <w:pPr>
        <w:pStyle w:val="0"/>
        <w:spacing w:before="240" w:lineRule="auto"/>
        <w:ind w:firstLine="540"/>
        <w:jc w:val="both"/>
      </w:pPr>
      <w:r>
        <w:rPr>
          <w:sz w:val="24"/>
        </w:rPr>
        <w:t xml:space="preserve">7) ОГРН медицинской организации;</w:t>
      </w:r>
    </w:p>
    <w:p>
      <w:pPr>
        <w:pStyle w:val="0"/>
        <w:spacing w:before="240" w:lineRule="auto"/>
        <w:ind w:firstLine="540"/>
        <w:jc w:val="both"/>
      </w:pPr>
      <w:r>
        <w:rPr>
          <w:sz w:val="24"/>
        </w:rPr>
        <w:t xml:space="preserve">8) код организационно-правовой формы медицинской организации в соответствии с Общероссийским </w:t>
      </w:r>
      <w:hyperlink w:history="0" r:id="rId118" w:tooltip="&quot;ОК 028-2012. Общероссийский классификатор организационно-правовых форм&quot; (утв. Приказом Росстандарта от 16.10.2012 N 505-ст) (ред. от 30.07.2025) (вместе с &quot;Пояснениями к позициям ОКОПФ&quot;) {КонсультантПлюс}">
        <w:r>
          <w:rPr>
            <w:sz w:val="24"/>
            <w:color w:val="0000ff"/>
          </w:rPr>
          <w:t xml:space="preserve">классификатором</w:t>
        </w:r>
      </w:hyperlink>
      <w:r>
        <w:rPr>
          <w:sz w:val="24"/>
        </w:rPr>
        <w:t xml:space="preserve"> организационно-правовых форм (ОКОПФ);</w:t>
      </w:r>
    </w:p>
    <w:p>
      <w:pPr>
        <w:pStyle w:val="0"/>
        <w:spacing w:before="240" w:lineRule="auto"/>
        <w:ind w:firstLine="540"/>
        <w:jc w:val="both"/>
      </w:pPr>
      <w:r>
        <w:rPr>
          <w:sz w:val="24"/>
        </w:rPr>
        <w:t xml:space="preserve">9) код формы собственности медицинской организации в соответствии с Общероссийским </w:t>
      </w:r>
      <w:hyperlink w:history="0" r:id="rId119" w:tooltip="Постановление Госстандарта России от 30.03.1999 N 97 (ред. от 22.09.2023) &quot;О принятии и введении в действие Общероссийских классификаторов&quot; (вместе с &quot;ОК 027-99. Общероссийский классификатор форм собственности&quot;) (дата введения 01.01.2000) {КонсультантПлюс}">
        <w:r>
          <w:rPr>
            <w:sz w:val="24"/>
            <w:color w:val="0000ff"/>
          </w:rPr>
          <w:t xml:space="preserve">классификатором</w:t>
        </w:r>
      </w:hyperlink>
      <w:r>
        <w:rPr>
          <w:sz w:val="24"/>
        </w:rPr>
        <w:t xml:space="preserve"> форм собственности (ОКФС);</w:t>
      </w:r>
    </w:p>
    <w:bookmarkStart w:id="484" w:name="P484"/>
    <w:bookmarkEnd w:id="484"/>
    <w:p>
      <w:pPr>
        <w:pStyle w:val="0"/>
        <w:spacing w:before="240" w:lineRule="auto"/>
        <w:ind w:firstLine="540"/>
        <w:jc w:val="both"/>
      </w:pPr>
      <w:r>
        <w:rPr>
          <w:sz w:val="24"/>
        </w:rPr>
        <w:t xml:space="preserve">10) сведения об учредителе (учредителях) медицинской организации, являющейся государственным (муниципальным) учреждением:</w:t>
      </w:r>
    </w:p>
    <w:p>
      <w:pPr>
        <w:pStyle w:val="0"/>
        <w:spacing w:before="240" w:lineRule="auto"/>
        <w:ind w:firstLine="540"/>
        <w:jc w:val="both"/>
      </w:pPr>
      <w:r>
        <w:rPr>
          <w:sz w:val="24"/>
        </w:rPr>
        <w:t xml:space="preserve">полное и сокращенное (при наличии) наименования учредителя медицинской организации в соответствии со сведениями ЕГРЮЛ;</w:t>
      </w:r>
    </w:p>
    <w:p>
      <w:pPr>
        <w:pStyle w:val="0"/>
        <w:spacing w:before="240" w:lineRule="auto"/>
        <w:ind w:firstLine="540"/>
        <w:jc w:val="both"/>
      </w:pPr>
      <w:r>
        <w:rPr>
          <w:sz w:val="24"/>
        </w:rPr>
        <w:t xml:space="preserve">ИНН учредителя медицинской организации в соответствии со свидетельством о постановке на учет в налоговом органе;</w:t>
      </w:r>
    </w:p>
    <w:p>
      <w:pPr>
        <w:pStyle w:val="0"/>
        <w:spacing w:before="240" w:lineRule="auto"/>
        <w:ind w:firstLine="540"/>
        <w:jc w:val="both"/>
      </w:pPr>
      <w:r>
        <w:rPr>
          <w:sz w:val="24"/>
        </w:rPr>
        <w:t xml:space="preserve">КПП учредителя медицинской организации в соответствии со свидетельством о постановке на учет в налоговом органе;</w:t>
      </w:r>
    </w:p>
    <w:p>
      <w:pPr>
        <w:pStyle w:val="0"/>
        <w:spacing w:before="240" w:lineRule="auto"/>
        <w:ind w:firstLine="540"/>
        <w:jc w:val="both"/>
      </w:pPr>
      <w:r>
        <w:rPr>
          <w:sz w:val="24"/>
        </w:rPr>
        <w:t xml:space="preserve">наименование публично-правового образования, от имени которого действует учредитель медицинской организации;</w:t>
      </w:r>
    </w:p>
    <w:p>
      <w:pPr>
        <w:pStyle w:val="0"/>
        <w:spacing w:before="240" w:lineRule="auto"/>
        <w:ind w:firstLine="540"/>
        <w:jc w:val="both"/>
      </w:pPr>
      <w:r>
        <w:rPr>
          <w:sz w:val="24"/>
        </w:rPr>
        <w:t xml:space="preserve">код территории публично-правового образования, от имени которого действует учредитель медицинской организации, в соответствии с Общероссийским </w:t>
      </w:r>
      <w:hyperlink w:history="0" r:id="rId120" w:tooltip="&quot;ОК 033-2013. Общероссийский классификатор территорий муниципальных образований&quot; (Том 1. Центральный федеральный округ) (утв. Приказом Росстандарта от 14.06.2013 N 159-ст) (с учетом Изменений 1/2013 - 923/2025) {КонсультантПлюс}">
        <w:r>
          <w:rPr>
            <w:sz w:val="24"/>
            <w:color w:val="0000ff"/>
          </w:rPr>
          <w:t xml:space="preserve">классификатором</w:t>
        </w:r>
      </w:hyperlink>
      <w:r>
        <w:rPr>
          <w:sz w:val="24"/>
        </w:rPr>
        <w:t xml:space="preserve"> территорий муниципальных образований (ОКТМО);</w:t>
      </w:r>
    </w:p>
    <w:bookmarkStart w:id="490" w:name="P490"/>
    <w:bookmarkEnd w:id="490"/>
    <w:p>
      <w:pPr>
        <w:pStyle w:val="0"/>
        <w:spacing w:before="240" w:lineRule="auto"/>
        <w:ind w:firstLine="540"/>
        <w:jc w:val="both"/>
      </w:pPr>
      <w:r>
        <w:rPr>
          <w:sz w:val="24"/>
        </w:rPr>
        <w:t xml:space="preserve">11) вид медицинской организации в соответствии с </w:t>
      </w:r>
      <w:hyperlink w:history="0" r:id="rId121" w:tooltip="Приказ Минздрава России от 06.08.2013 N 529н (ред. от 19.02.2020) &quot;Об утверждении номенклатуры медицинских организаций&quot; (Зарегистрировано в Минюсте России 13.09.2013 N 29950) {КонсультантПлюс}">
        <w:r>
          <w:rPr>
            <w:sz w:val="24"/>
            <w:color w:val="0000ff"/>
          </w:rPr>
          <w:t xml:space="preserve">номенклатурой</w:t>
        </w:r>
      </w:hyperlink>
      <w:r>
        <w:rPr>
          <w:sz w:val="24"/>
        </w:rPr>
        <w:t xml:space="preserve"> медицинских организаций &lt;15&gt;;</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&lt;15&gt; Утверждена </w:t>
      </w:r>
      <w:hyperlink w:history="0" r:id="rId122" w:tooltip="Приказ Минздрава России от 06.08.2013 N 529н (ред. от 19.02.2020) &quot;Об утверждении номенклатуры медицинских организаций&quot; (Зарегистрировано в Минюсте России 13.09.2013 N 29950) {КонсультантПлюс}">
        <w:r>
          <w:rPr>
            <w:sz w:val="24"/>
            <w:color w:val="0000ff"/>
          </w:rPr>
          <w:t xml:space="preserve">приказом</w:t>
        </w:r>
      </w:hyperlink>
      <w:r>
        <w:rPr>
          <w:sz w:val="24"/>
        </w:rPr>
        <w:t xml:space="preserve"> Министерства здравоохранения Российской Федерации от 6 августа 2013 г. N 529н.</w:t>
      </w:r>
    </w:p>
    <w:p>
      <w:pPr>
        <w:pStyle w:val="0"/>
        <w:jc w:val="both"/>
      </w:pPr>
      <w:r>
        <w:rPr>
          <w:sz w:val="24"/>
        </w:rPr>
      </w:r>
    </w:p>
    <w:bookmarkStart w:id="494" w:name="P494"/>
    <w:bookmarkEnd w:id="494"/>
    <w:p>
      <w:pPr>
        <w:pStyle w:val="0"/>
        <w:ind w:firstLine="540"/>
        <w:jc w:val="both"/>
      </w:pPr>
      <w:r>
        <w:rPr>
          <w:sz w:val="24"/>
        </w:rPr>
        <w:t xml:space="preserve">12) адрес медицинской организации в пределах места нахождения медицинской организации;</w:t>
      </w:r>
    </w:p>
    <w:p>
      <w:pPr>
        <w:pStyle w:val="0"/>
        <w:spacing w:before="240" w:lineRule="auto"/>
        <w:ind w:firstLine="540"/>
        <w:jc w:val="both"/>
      </w:pPr>
      <w:r>
        <w:rPr>
          <w:sz w:val="24"/>
        </w:rPr>
        <w:t xml:space="preserve">адрес, по которому индивидуальный предприниматель зарегистрирован по месту жительства в установленном законодательством Российской Федерации порядке (для индивидуальных предпринимателей, осуществляющих медицинскую деятельность);</w:t>
      </w:r>
    </w:p>
    <w:p>
      <w:pPr>
        <w:pStyle w:val="0"/>
        <w:spacing w:before="240" w:lineRule="auto"/>
        <w:ind w:firstLine="540"/>
        <w:jc w:val="both"/>
      </w:pPr>
      <w:r>
        <w:rPr>
          <w:sz w:val="24"/>
        </w:rPr>
        <w:t xml:space="preserve">уникальный номер адреса медицинской организации в пределах места нахождения медицинской организации, адреса, по которому индивидуальный предприниматель зарегистрирован по месту жительства в установленном законодательством Российской Федерации порядке в государственном адресном реестре;</w:t>
      </w:r>
    </w:p>
    <w:bookmarkStart w:id="497" w:name="P497"/>
    <w:bookmarkEnd w:id="497"/>
    <w:p>
      <w:pPr>
        <w:pStyle w:val="0"/>
        <w:spacing w:before="240" w:lineRule="auto"/>
        <w:ind w:firstLine="540"/>
        <w:jc w:val="both"/>
      </w:pPr>
      <w:r>
        <w:rPr>
          <w:sz w:val="24"/>
        </w:rPr>
        <w:t xml:space="preserve">13) адрес электронной почты, номер телефона медицинской организации (индивидуального предпринимателя, осуществляющего медицинскую деятельность);</w:t>
      </w:r>
    </w:p>
    <w:bookmarkStart w:id="498" w:name="P498"/>
    <w:bookmarkEnd w:id="498"/>
    <w:p>
      <w:pPr>
        <w:pStyle w:val="0"/>
        <w:spacing w:before="240" w:lineRule="auto"/>
        <w:ind w:firstLine="540"/>
        <w:jc w:val="both"/>
      </w:pPr>
      <w:r>
        <w:rPr>
          <w:sz w:val="24"/>
        </w:rPr>
        <w:t xml:space="preserve">14) фамилию, имя, отчество (при наличии) руководителя и иных лиц медицинской организации, имеющих право действовать от имени медицинской организации без доверенности (для медицинской организации);</w:t>
      </w:r>
    </w:p>
    <w:bookmarkStart w:id="499" w:name="P499"/>
    <w:bookmarkEnd w:id="499"/>
    <w:p>
      <w:pPr>
        <w:pStyle w:val="0"/>
        <w:spacing w:before="240" w:lineRule="auto"/>
        <w:ind w:firstLine="540"/>
        <w:jc w:val="both"/>
      </w:pPr>
      <w:r>
        <w:rPr>
          <w:sz w:val="24"/>
        </w:rPr>
        <w:t xml:space="preserve">15) банковские реквизиты медицинской организации;</w:t>
      </w:r>
    </w:p>
    <w:p>
      <w:pPr>
        <w:pStyle w:val="0"/>
        <w:spacing w:before="240" w:lineRule="auto"/>
        <w:ind w:firstLine="540"/>
        <w:jc w:val="both"/>
      </w:pPr>
      <w:r>
        <w:rPr>
          <w:sz w:val="24"/>
        </w:rPr>
        <w:t xml:space="preserve">16) сведения о лицензии на осуществление медицинской деятельности:</w:t>
      </w:r>
    </w:p>
    <w:p>
      <w:pPr>
        <w:pStyle w:val="0"/>
        <w:spacing w:before="240" w:lineRule="auto"/>
        <w:ind w:firstLine="540"/>
        <w:jc w:val="both"/>
      </w:pPr>
      <w:r>
        <w:rPr>
          <w:sz w:val="24"/>
        </w:rPr>
        <w:t xml:space="preserve">наименование лицензирующего органа;</w:t>
      </w:r>
    </w:p>
    <w:p>
      <w:pPr>
        <w:pStyle w:val="0"/>
        <w:spacing w:before="240" w:lineRule="auto"/>
        <w:ind w:firstLine="540"/>
        <w:jc w:val="both"/>
      </w:pPr>
      <w:r>
        <w:rPr>
          <w:sz w:val="24"/>
        </w:rPr>
        <w:t xml:space="preserve">адреса мест осуществления медицинской деятельности;</w:t>
      </w:r>
    </w:p>
    <w:p>
      <w:pPr>
        <w:pStyle w:val="0"/>
        <w:spacing w:before="240" w:lineRule="auto"/>
        <w:ind w:firstLine="540"/>
        <w:jc w:val="both"/>
      </w:pPr>
      <w:r>
        <w:rPr>
          <w:sz w:val="24"/>
        </w:rPr>
        <w:t xml:space="preserve">оказываемые медицинские услуги (выполняемые работы);</w:t>
      </w:r>
    </w:p>
    <w:p>
      <w:pPr>
        <w:pStyle w:val="0"/>
        <w:spacing w:before="240" w:lineRule="auto"/>
        <w:ind w:firstLine="540"/>
        <w:jc w:val="both"/>
      </w:pPr>
      <w:r>
        <w:rPr>
          <w:sz w:val="24"/>
        </w:rPr>
        <w:t xml:space="preserve">номер и дата регистрации лицензии на осуществление медицинской деятельности;</w:t>
      </w:r>
    </w:p>
    <w:bookmarkStart w:id="505" w:name="P505"/>
    <w:bookmarkEnd w:id="505"/>
    <w:p>
      <w:pPr>
        <w:pStyle w:val="0"/>
        <w:spacing w:before="240" w:lineRule="auto"/>
        <w:ind w:firstLine="540"/>
        <w:jc w:val="both"/>
      </w:pPr>
      <w:r>
        <w:rPr>
          <w:sz w:val="24"/>
        </w:rPr>
        <w:t xml:space="preserve">17) сведения об обособленных структурных подразделениях медицинской организации, осуществляющих деятельность по реализации территориальной программы субъекта Российской Федерации:</w:t>
      </w:r>
    </w:p>
    <w:p>
      <w:pPr>
        <w:pStyle w:val="0"/>
        <w:spacing w:before="240" w:lineRule="auto"/>
        <w:ind w:firstLine="540"/>
        <w:jc w:val="both"/>
      </w:pPr>
      <w:r>
        <w:rPr>
          <w:sz w:val="24"/>
        </w:rPr>
        <w:t xml:space="preserve">полное наименование обособленного структурного подразделения медицинской организации в соответствии со сведениями ЕГРЮЛ;</w:t>
      </w:r>
    </w:p>
    <w:p>
      <w:pPr>
        <w:pStyle w:val="0"/>
        <w:spacing w:before="240" w:lineRule="auto"/>
        <w:ind w:firstLine="540"/>
        <w:jc w:val="both"/>
      </w:pPr>
      <w:r>
        <w:rPr>
          <w:sz w:val="24"/>
        </w:rPr>
        <w:t xml:space="preserve">реестровый номер обособленного структурного подразделения медицинской организации;</w:t>
      </w:r>
    </w:p>
    <w:p>
      <w:pPr>
        <w:pStyle w:val="0"/>
        <w:spacing w:before="240" w:lineRule="auto"/>
        <w:ind w:firstLine="540"/>
        <w:jc w:val="both"/>
      </w:pPr>
      <w:r>
        <w:rPr>
          <w:sz w:val="24"/>
        </w:rPr>
        <w:t xml:space="preserve">вид обособленного структурного подразделения медицинской организации;</w:t>
      </w:r>
    </w:p>
    <w:p>
      <w:pPr>
        <w:pStyle w:val="0"/>
        <w:spacing w:before="240" w:lineRule="auto"/>
        <w:ind w:firstLine="540"/>
        <w:jc w:val="both"/>
      </w:pPr>
      <w:r>
        <w:rPr>
          <w:sz w:val="24"/>
        </w:rPr>
        <w:t xml:space="preserve">адрес обособленного структурного подразделения медицинской организации в пределах места нахождения обособленного структурного подразделения медицинской организации;</w:t>
      </w:r>
    </w:p>
    <w:p>
      <w:pPr>
        <w:pStyle w:val="0"/>
        <w:spacing w:before="240" w:lineRule="auto"/>
        <w:ind w:firstLine="540"/>
        <w:jc w:val="both"/>
      </w:pPr>
      <w:r>
        <w:rPr>
          <w:sz w:val="24"/>
        </w:rPr>
        <w:t xml:space="preserve">уникальный номер адреса обособленного структурного подразделения медицинской организации в пределах места нахождения обособленного структурного подразделения медицинской организации в государственном адресном реестре;</w:t>
      </w:r>
    </w:p>
    <w:p>
      <w:pPr>
        <w:pStyle w:val="0"/>
        <w:spacing w:before="240" w:lineRule="auto"/>
        <w:ind w:firstLine="540"/>
        <w:jc w:val="both"/>
      </w:pPr>
      <w:r>
        <w:rPr>
          <w:sz w:val="24"/>
        </w:rPr>
        <w:t xml:space="preserve">адрес электронной почты, номер телефона обособленного структурного подразделения медицинской организации;</w:t>
      </w:r>
    </w:p>
    <w:p>
      <w:pPr>
        <w:pStyle w:val="0"/>
        <w:spacing w:before="240" w:lineRule="auto"/>
        <w:ind w:firstLine="540"/>
        <w:jc w:val="both"/>
      </w:pPr>
      <w:r>
        <w:rPr>
          <w:sz w:val="24"/>
        </w:rPr>
        <w:t xml:space="preserve">фамилию, имя, отчество (при наличии) руководителя обособленного структурного подразделения медицинской организации;</w:t>
      </w:r>
    </w:p>
    <w:p>
      <w:pPr>
        <w:pStyle w:val="0"/>
        <w:spacing w:before="240" w:lineRule="auto"/>
        <w:ind w:firstLine="540"/>
        <w:jc w:val="both"/>
      </w:pPr>
      <w:r>
        <w:rPr>
          <w:sz w:val="24"/>
        </w:rPr>
        <w:t xml:space="preserve">банковские реквизиты обособленного структурного подразделения медицинской организации (при наличии);</w:t>
      </w:r>
    </w:p>
    <w:bookmarkStart w:id="514" w:name="P514"/>
    <w:bookmarkEnd w:id="514"/>
    <w:p>
      <w:pPr>
        <w:pStyle w:val="0"/>
        <w:spacing w:before="240" w:lineRule="auto"/>
        <w:ind w:firstLine="540"/>
        <w:jc w:val="both"/>
      </w:pPr>
      <w:r>
        <w:rPr>
          <w:sz w:val="24"/>
        </w:rPr>
        <w:t xml:space="preserve">18) сведения об адресах оказания медицинской помощи на территории субъекта Российской Федерации, расположенных по данным адресам обособленных структурных подразделениях медицинской организации и (или) наименованиях структурных подразделений медицинской организации, расположенных по данным адресам (при наличии), уникальные номера адресов оказания медицинской помощи в государственном адресном реестре;</w:t>
      </w:r>
    </w:p>
    <w:bookmarkStart w:id="515" w:name="P515"/>
    <w:bookmarkEnd w:id="515"/>
    <w:p>
      <w:pPr>
        <w:pStyle w:val="0"/>
        <w:spacing w:before="240" w:lineRule="auto"/>
        <w:ind w:firstLine="540"/>
        <w:jc w:val="both"/>
      </w:pPr>
      <w:r>
        <w:rPr>
          <w:sz w:val="24"/>
        </w:rPr>
        <w:t xml:space="preserve">19) мощность коечного фонда медицинской организации и количество врачей, участвующих в оказании первичной медико-санитарной помощи, в разрезе профилей и адресов оказания медицинской помощи;</w:t>
      </w:r>
    </w:p>
    <w:bookmarkStart w:id="516" w:name="P516"/>
    <w:bookmarkEnd w:id="516"/>
    <w:p>
      <w:pPr>
        <w:pStyle w:val="0"/>
        <w:spacing w:before="240" w:lineRule="auto"/>
        <w:ind w:firstLine="540"/>
        <w:jc w:val="both"/>
      </w:pPr>
      <w:r>
        <w:rPr>
          <w:sz w:val="24"/>
        </w:rPr>
        <w:t xml:space="preserve">20) дату включения медицинской организации в реестр медицинских организаций, осуществляющих деятельность в сфере обязательного медицинского страхования, на соответствующий финансовый год;</w:t>
      </w:r>
    </w:p>
    <w:p>
      <w:pPr>
        <w:pStyle w:val="0"/>
        <w:spacing w:before="240" w:lineRule="auto"/>
        <w:ind w:firstLine="540"/>
        <w:jc w:val="both"/>
      </w:pPr>
      <w:r>
        <w:rPr>
          <w:sz w:val="24"/>
        </w:rPr>
        <w:t xml:space="preserve">21) основание включения медицинской организации в реестр медицинских организаций, осуществляющих деятельность в сфере обязательного медицинского страхования, на соответствующий финансовый год;</w:t>
      </w:r>
    </w:p>
    <w:bookmarkStart w:id="518" w:name="P518"/>
    <w:bookmarkEnd w:id="518"/>
    <w:p>
      <w:pPr>
        <w:pStyle w:val="0"/>
        <w:spacing w:before="240" w:lineRule="auto"/>
        <w:ind w:firstLine="540"/>
        <w:jc w:val="both"/>
      </w:pPr>
      <w:r>
        <w:rPr>
          <w:sz w:val="24"/>
        </w:rPr>
        <w:t xml:space="preserve">22) виды, условия и профили медицинской помощи, оказываемой медицинской организацией в рамках территориальной программы, в том числе в разрезе обособленных структурных подразделений медицинской организации (при наличии);</w:t>
      </w:r>
    </w:p>
    <w:p>
      <w:pPr>
        <w:pStyle w:val="0"/>
        <w:spacing w:before="240" w:lineRule="auto"/>
        <w:ind w:firstLine="540"/>
        <w:jc w:val="both"/>
      </w:pPr>
      <w:r>
        <w:rPr>
          <w:sz w:val="24"/>
        </w:rPr>
        <w:t xml:space="preserve">23) сведения о договоре на оказание и оплату медицинской помощи по обязательному медицинскому страхованию, заключенном с медицинской организацией в соответствии с </w:t>
      </w:r>
      <w:hyperlink w:history="0" r:id="rId123" w:tooltip="Федеральный закон от 29.11.2010 N 326-ФЗ (ред. от 20.02.2026) &quot;Об обязательном медицинском страховании в Российской Федерации&quot; {КонсультантПлюс}">
        <w:r>
          <w:rPr>
            <w:sz w:val="24"/>
            <w:color w:val="0000ff"/>
          </w:rPr>
          <w:t xml:space="preserve">частью 1 статьи 39</w:t>
        </w:r>
      </w:hyperlink>
      <w:r>
        <w:rPr>
          <w:sz w:val="24"/>
        </w:rPr>
        <w:t xml:space="preserve"> Федерального закона;</w:t>
      </w:r>
    </w:p>
    <w:p>
      <w:pPr>
        <w:pStyle w:val="0"/>
        <w:spacing w:before="240" w:lineRule="auto"/>
        <w:ind w:firstLine="540"/>
        <w:jc w:val="both"/>
      </w:pPr>
      <w:r>
        <w:rPr>
          <w:sz w:val="24"/>
        </w:rPr>
        <w:t xml:space="preserve">24) сведения об объемах оказания медицинской помощи и о ее финансовом обеспечении, распределенных медицинской организации решением Комиссии, в том числе в разрезе обособленных структурных подразделений медицинской организации (при наличии);</w:t>
      </w:r>
    </w:p>
    <w:p>
      <w:pPr>
        <w:pStyle w:val="0"/>
        <w:spacing w:before="240" w:lineRule="auto"/>
        <w:ind w:firstLine="540"/>
        <w:jc w:val="both"/>
      </w:pPr>
      <w:r>
        <w:rPr>
          <w:sz w:val="24"/>
        </w:rPr>
        <w:t xml:space="preserve">25) сведения о способах оплаты медицинской помощи, установленных для медицинской организации в тарифном соглашении субъекта Российской Федерации, в том числе в разрезе обособленных структурных подразделений медицинской организации (при наличии);</w:t>
      </w:r>
    </w:p>
    <w:p>
      <w:pPr>
        <w:pStyle w:val="0"/>
        <w:spacing w:before="240" w:lineRule="auto"/>
        <w:ind w:firstLine="540"/>
        <w:jc w:val="both"/>
      </w:pPr>
      <w:r>
        <w:rPr>
          <w:sz w:val="24"/>
        </w:rPr>
        <w:t xml:space="preserve">26) сведения о тарифах на оплату медицинской помощи, а также элементах структур тарифов на оплату медицинской помощи, установленных для медицинской организации (обособленных структурных подразделений медицинской организации) в тарифном соглашении субъекта Российской Федерации;</w:t>
      </w:r>
    </w:p>
    <w:p>
      <w:pPr>
        <w:pStyle w:val="0"/>
        <w:spacing w:before="240" w:lineRule="auto"/>
        <w:ind w:firstLine="540"/>
        <w:jc w:val="both"/>
      </w:pPr>
      <w:r>
        <w:rPr>
          <w:sz w:val="24"/>
        </w:rPr>
        <w:t xml:space="preserve">27) фактические показатели деятельности медицинской организации в рамках реализации территориальной программы субъекта Российской Федерации на соответствующий финансовый год, в том числе в разрезе обособленных структурных подразделений медицинской организации (при наличии);</w:t>
      </w:r>
    </w:p>
    <w:bookmarkStart w:id="524" w:name="P524"/>
    <w:bookmarkEnd w:id="524"/>
    <w:p>
      <w:pPr>
        <w:pStyle w:val="0"/>
        <w:spacing w:before="240" w:lineRule="auto"/>
        <w:ind w:firstLine="540"/>
        <w:jc w:val="both"/>
      </w:pPr>
      <w:r>
        <w:rPr>
          <w:sz w:val="24"/>
        </w:rPr>
        <w:t xml:space="preserve">28) дату исключения медицинской организации из реестра медицинских организаций, осуществляющих деятельность в сфере обязательного страхования, в соответствующем финансовом году;</w:t>
      </w:r>
    </w:p>
    <w:bookmarkStart w:id="525" w:name="P525"/>
    <w:bookmarkEnd w:id="525"/>
    <w:p>
      <w:pPr>
        <w:pStyle w:val="0"/>
        <w:spacing w:before="240" w:lineRule="auto"/>
        <w:ind w:firstLine="540"/>
        <w:jc w:val="both"/>
      </w:pPr>
      <w:r>
        <w:rPr>
          <w:sz w:val="24"/>
        </w:rPr>
        <w:t xml:space="preserve">29) причину и основание исключения медицинской организации из реестра медицинских организаций, осуществляющих деятельность в сфере обязательного страхования, в соответствующем финансовом году.</w:t>
      </w:r>
    </w:p>
    <w:p>
      <w:pPr>
        <w:pStyle w:val="0"/>
        <w:spacing w:before="240" w:lineRule="auto"/>
        <w:ind w:firstLine="540"/>
        <w:jc w:val="both"/>
      </w:pPr>
      <w:r>
        <w:rPr>
          <w:sz w:val="24"/>
        </w:rPr>
        <w:t xml:space="preserve">118. Медицинская организация государственной системы здравоохранения или муниципальной системы здравоохранения включается в реестр медицинских организаций, осуществляющих деятельность в сфере обязательного медицинского страхования, на основании уведомления о включении в реестр медицинских организаций, осуществляющих деятельность в сфере обязательного медицинского страхования по территориальной программе обязательного медицинского страхования (далее - уведомление о включении в реестр медицинских организаций), направляемого ею в территориальный фонд субъекта Российской Федерации, на территории которого такая медицинская организация намерена осуществлять деятельность в сфере обязательного медицинского страхования, до 1 сентября года, предшествующего году, в котором она намерена осуществлять деятельность в сфере обязательного медицинского страхования на территории субъекта Российской Федерации (либо в срок, в соответствии со </w:t>
      </w:r>
      <w:hyperlink w:history="0" r:id="rId124" w:tooltip="Федеральный закон от 29.11.2010 N 326-ФЗ (ред. от 20.02.2026) &quot;Об обязательном медицинском страховании в Российской Федерации&quot; {КонсультантПлюс}">
        <w:r>
          <w:rPr>
            <w:sz w:val="24"/>
            <w:color w:val="0000ff"/>
          </w:rPr>
          <w:t xml:space="preserve">статьей 15</w:t>
        </w:r>
      </w:hyperlink>
      <w:r>
        <w:rPr>
          <w:sz w:val="24"/>
        </w:rPr>
        <w:t xml:space="preserve"> Федерального закона).</w:t>
      </w:r>
    </w:p>
    <w:p>
      <w:pPr>
        <w:pStyle w:val="0"/>
        <w:spacing w:before="240" w:lineRule="auto"/>
        <w:ind w:firstLine="540"/>
        <w:jc w:val="both"/>
      </w:pPr>
      <w:r>
        <w:rPr>
          <w:sz w:val="24"/>
        </w:rPr>
        <w:t xml:space="preserve">119. Уведомление о включении в реестр медицинских организаций формируется в форме электронного документа в государственной информационной системе обязательного медицинского страхования согласно </w:t>
      </w:r>
      <w:hyperlink w:history="0" w:anchor="P2414" w:tooltip="                                УВЕДОМЛЕНИЕ">
        <w:r>
          <w:rPr>
            <w:sz w:val="24"/>
            <w:color w:val="0000ff"/>
          </w:rPr>
          <w:t xml:space="preserve">приложению N 7</w:t>
        </w:r>
      </w:hyperlink>
      <w:r>
        <w:rPr>
          <w:sz w:val="24"/>
        </w:rPr>
        <w:t xml:space="preserve"> к настоящим Правилам, и подписывается усиленной квалифицированной подписью лица, уполномоченного действовать от имени медицинской организации.</w:t>
      </w:r>
    </w:p>
    <w:bookmarkStart w:id="528" w:name="P528"/>
    <w:bookmarkEnd w:id="528"/>
    <w:p>
      <w:pPr>
        <w:pStyle w:val="0"/>
        <w:spacing w:before="240" w:lineRule="auto"/>
        <w:ind w:firstLine="540"/>
        <w:jc w:val="both"/>
      </w:pPr>
      <w:r>
        <w:rPr>
          <w:sz w:val="24"/>
        </w:rPr>
        <w:t xml:space="preserve">120. Уведомление о включении в реестр медицинских организаций содержит следующие сведения о медицинской организации государственной системы здравоохранения или муниципальной системы здравоохранения:</w:t>
      </w:r>
    </w:p>
    <w:p>
      <w:pPr>
        <w:pStyle w:val="0"/>
        <w:spacing w:before="240" w:lineRule="auto"/>
        <w:ind w:firstLine="540"/>
        <w:jc w:val="both"/>
      </w:pPr>
      <w:r>
        <w:rPr>
          <w:sz w:val="24"/>
        </w:rPr>
        <w:t xml:space="preserve">1) о субъекте Российской Федерации, на участие в реализации территориальной программы которого медицинская организация подает уведомление о включении в реестр медицинских организаций;</w:t>
      </w:r>
    </w:p>
    <w:p>
      <w:pPr>
        <w:pStyle w:val="0"/>
        <w:spacing w:before="240" w:lineRule="auto"/>
        <w:ind w:firstLine="540"/>
        <w:jc w:val="both"/>
      </w:pPr>
      <w:r>
        <w:rPr>
          <w:sz w:val="24"/>
        </w:rPr>
        <w:t xml:space="preserve">2) полное и сокращенное (при наличии) наименования медицинской организации в соответствии со сведениями ЕГРЮЛ;</w:t>
      </w:r>
    </w:p>
    <w:p>
      <w:pPr>
        <w:pStyle w:val="0"/>
        <w:spacing w:before="240" w:lineRule="auto"/>
        <w:ind w:firstLine="540"/>
        <w:jc w:val="both"/>
      </w:pPr>
      <w:r>
        <w:rPr>
          <w:sz w:val="24"/>
        </w:rPr>
        <w:t xml:space="preserve">3) ИНН медицинской организации в соответствии со свидетельством о постановке на учет в налоговом органе;</w:t>
      </w:r>
    </w:p>
    <w:p>
      <w:pPr>
        <w:pStyle w:val="0"/>
        <w:spacing w:before="240" w:lineRule="auto"/>
        <w:ind w:firstLine="540"/>
        <w:jc w:val="both"/>
      </w:pPr>
      <w:r>
        <w:rPr>
          <w:sz w:val="24"/>
        </w:rPr>
        <w:t xml:space="preserve">4) КПП медицинской организации в соответствии со свидетельством о постановке на учет в налоговом органе;</w:t>
      </w:r>
    </w:p>
    <w:p>
      <w:pPr>
        <w:pStyle w:val="0"/>
        <w:spacing w:before="240" w:lineRule="auto"/>
        <w:ind w:firstLine="540"/>
        <w:jc w:val="both"/>
      </w:pPr>
      <w:r>
        <w:rPr>
          <w:sz w:val="24"/>
        </w:rPr>
        <w:t xml:space="preserve">5) ОГРН медицинской организации;</w:t>
      </w:r>
    </w:p>
    <w:p>
      <w:pPr>
        <w:pStyle w:val="0"/>
        <w:spacing w:before="240" w:lineRule="auto"/>
        <w:ind w:firstLine="540"/>
        <w:jc w:val="both"/>
      </w:pPr>
      <w:r>
        <w:rPr>
          <w:sz w:val="24"/>
        </w:rPr>
        <w:t xml:space="preserve">6) идентификационный номер медицинской организации в федеральном реестре медицинских и фармацевтических организаций;</w:t>
      </w:r>
    </w:p>
    <w:p>
      <w:pPr>
        <w:pStyle w:val="0"/>
        <w:spacing w:before="240" w:lineRule="auto"/>
        <w:ind w:firstLine="540"/>
        <w:jc w:val="both"/>
      </w:pPr>
      <w:r>
        <w:rPr>
          <w:sz w:val="24"/>
        </w:rPr>
        <w:t xml:space="preserve">7) код организационно-правовой формы медицинской организации в соответствии с Общероссийским </w:t>
      </w:r>
      <w:hyperlink w:history="0" r:id="rId125" w:tooltip="&quot;ОК 028-2012. Общероссийский классификатор организационно-правовых форм&quot; (утв. Приказом Росстандарта от 16.10.2012 N 505-ст) (ред. от 30.07.2025) (вместе с &quot;Пояснениями к позициям ОКОПФ&quot;) {КонсультантПлюс}">
        <w:r>
          <w:rPr>
            <w:sz w:val="24"/>
            <w:color w:val="0000ff"/>
          </w:rPr>
          <w:t xml:space="preserve">классификатором</w:t>
        </w:r>
      </w:hyperlink>
      <w:r>
        <w:rPr>
          <w:sz w:val="24"/>
        </w:rPr>
        <w:t xml:space="preserve"> организационно-правовых форм (ОКОПФ);</w:t>
      </w:r>
    </w:p>
    <w:p>
      <w:pPr>
        <w:pStyle w:val="0"/>
        <w:spacing w:before="240" w:lineRule="auto"/>
        <w:ind w:firstLine="540"/>
        <w:jc w:val="both"/>
      </w:pPr>
      <w:r>
        <w:rPr>
          <w:sz w:val="24"/>
        </w:rPr>
        <w:t xml:space="preserve">8) код формы собственности медицинской организации в соответствии с Общероссийским </w:t>
      </w:r>
      <w:hyperlink w:history="0" r:id="rId126" w:tooltip="Постановление Госстандарта России от 30.03.1999 N 97 (ред. от 22.09.2023) &quot;О принятии и введении в действие Общероссийских классификаторов&quot; (вместе с &quot;ОК 027-99. Общероссийский классификатор форм собственности&quot;) (дата введения 01.01.2000) {КонсультантПлюс}">
        <w:r>
          <w:rPr>
            <w:sz w:val="24"/>
            <w:color w:val="0000ff"/>
          </w:rPr>
          <w:t xml:space="preserve">классификатором</w:t>
        </w:r>
      </w:hyperlink>
      <w:r>
        <w:rPr>
          <w:sz w:val="24"/>
        </w:rPr>
        <w:t xml:space="preserve"> форм собственности (ОКФС);</w:t>
      </w:r>
    </w:p>
    <w:p>
      <w:pPr>
        <w:pStyle w:val="0"/>
        <w:spacing w:before="240" w:lineRule="auto"/>
        <w:ind w:firstLine="540"/>
        <w:jc w:val="both"/>
      </w:pPr>
      <w:r>
        <w:rPr>
          <w:sz w:val="24"/>
        </w:rPr>
        <w:t xml:space="preserve">9) вид медицинской организации в соответствии с </w:t>
      </w:r>
      <w:hyperlink w:history="0" r:id="rId127" w:tooltip="Приказ Минздрава России от 06.08.2013 N 529н (ред. от 19.02.2020) &quot;Об утверждении номенклатуры медицинских организаций&quot; (Зарегистрировано в Минюсте России 13.09.2013 N 29950) {КонсультантПлюс}">
        <w:r>
          <w:rPr>
            <w:sz w:val="24"/>
            <w:color w:val="0000ff"/>
          </w:rPr>
          <w:t xml:space="preserve">номенклатурой</w:t>
        </w:r>
      </w:hyperlink>
      <w:r>
        <w:rPr>
          <w:sz w:val="24"/>
        </w:rPr>
        <w:t xml:space="preserve"> медицинских организаций &lt;16&gt;;</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&lt;16&gt; Утверждена </w:t>
      </w:r>
      <w:hyperlink w:history="0" r:id="rId128" w:tooltip="Приказ Минздрава России от 06.08.2013 N 529н (ред. от 19.02.2020) &quot;Об утверждении номенклатуры медицинских организаций&quot; (Зарегистрировано в Минюсте России 13.09.2013 N 29950) {КонсультантПлюс}">
        <w:r>
          <w:rPr>
            <w:sz w:val="24"/>
            <w:color w:val="0000ff"/>
          </w:rPr>
          <w:t xml:space="preserve">приказом</w:t>
        </w:r>
      </w:hyperlink>
      <w:r>
        <w:rPr>
          <w:sz w:val="24"/>
        </w:rPr>
        <w:t xml:space="preserve"> Министерства здравоохранения Российской Федерации от 6 августа 2013 г. N 529н.</w:t>
      </w:r>
    </w:p>
    <w:p>
      <w:pPr>
        <w:pStyle w:val="0"/>
        <w:jc w:val="both"/>
      </w:pPr>
      <w:r>
        <w:rPr>
          <w:sz w:val="24"/>
        </w:rPr>
      </w:r>
    </w:p>
    <w:p>
      <w:pPr>
        <w:pStyle w:val="0"/>
        <w:ind w:firstLine="540"/>
        <w:jc w:val="both"/>
      </w:pPr>
      <w:r>
        <w:rPr>
          <w:sz w:val="24"/>
        </w:rPr>
        <w:t xml:space="preserve">10) адрес медицинской организации в пределах места нахождения медицинской организации;</w:t>
      </w:r>
    </w:p>
    <w:p>
      <w:pPr>
        <w:pStyle w:val="0"/>
        <w:spacing w:before="240" w:lineRule="auto"/>
        <w:ind w:firstLine="540"/>
        <w:jc w:val="both"/>
      </w:pPr>
      <w:r>
        <w:rPr>
          <w:sz w:val="24"/>
        </w:rPr>
        <w:t xml:space="preserve">уникальный номер адреса медицинской организации в пределах места нахождения медицинской организации;</w:t>
      </w:r>
    </w:p>
    <w:p>
      <w:pPr>
        <w:pStyle w:val="0"/>
        <w:spacing w:before="240" w:lineRule="auto"/>
        <w:ind w:firstLine="540"/>
        <w:jc w:val="both"/>
      </w:pPr>
      <w:r>
        <w:rPr>
          <w:sz w:val="24"/>
        </w:rPr>
        <w:t xml:space="preserve">11) адрес электронной почты, номер телефона медицинской организации;</w:t>
      </w:r>
    </w:p>
    <w:p>
      <w:pPr>
        <w:pStyle w:val="0"/>
        <w:spacing w:before="240" w:lineRule="auto"/>
        <w:ind w:firstLine="540"/>
        <w:jc w:val="both"/>
      </w:pPr>
      <w:r>
        <w:rPr>
          <w:sz w:val="24"/>
        </w:rPr>
        <w:t xml:space="preserve">12) фамилию, имя, отчество (при наличии) руководителя и иных лиц медицинской организации, имеющих право действовать от имени медицинской организации без доверенности;</w:t>
      </w:r>
    </w:p>
    <w:p>
      <w:pPr>
        <w:pStyle w:val="0"/>
        <w:spacing w:before="240" w:lineRule="auto"/>
        <w:ind w:firstLine="540"/>
        <w:jc w:val="both"/>
      </w:pPr>
      <w:r>
        <w:rPr>
          <w:sz w:val="24"/>
        </w:rPr>
        <w:t xml:space="preserve">13) банковские реквизиты медицинской организации;</w:t>
      </w:r>
    </w:p>
    <w:p>
      <w:pPr>
        <w:pStyle w:val="0"/>
        <w:spacing w:before="240" w:lineRule="auto"/>
        <w:ind w:firstLine="540"/>
        <w:jc w:val="both"/>
      </w:pPr>
      <w:r>
        <w:rPr>
          <w:sz w:val="24"/>
        </w:rPr>
        <w:t xml:space="preserve">14) сведения о лицензии на осуществление медицинской деятельности:</w:t>
      </w:r>
    </w:p>
    <w:p>
      <w:pPr>
        <w:pStyle w:val="0"/>
        <w:spacing w:before="240" w:lineRule="auto"/>
        <w:ind w:firstLine="540"/>
        <w:jc w:val="both"/>
      </w:pPr>
      <w:r>
        <w:rPr>
          <w:sz w:val="24"/>
        </w:rPr>
        <w:t xml:space="preserve">наименование лицензирующего органа;</w:t>
      </w:r>
    </w:p>
    <w:p>
      <w:pPr>
        <w:pStyle w:val="0"/>
        <w:spacing w:before="240" w:lineRule="auto"/>
        <w:ind w:firstLine="540"/>
        <w:jc w:val="both"/>
      </w:pPr>
      <w:r>
        <w:rPr>
          <w:sz w:val="24"/>
        </w:rPr>
        <w:t xml:space="preserve">адреса мест осуществления медицинской деятельности;</w:t>
      </w:r>
    </w:p>
    <w:p>
      <w:pPr>
        <w:pStyle w:val="0"/>
        <w:spacing w:before="240" w:lineRule="auto"/>
        <w:ind w:firstLine="540"/>
        <w:jc w:val="both"/>
      </w:pPr>
      <w:r>
        <w:rPr>
          <w:sz w:val="24"/>
        </w:rPr>
        <w:t xml:space="preserve">оказываемые медицинские услуги (выполняемые работы);</w:t>
      </w:r>
    </w:p>
    <w:p>
      <w:pPr>
        <w:pStyle w:val="0"/>
        <w:spacing w:before="240" w:lineRule="auto"/>
        <w:ind w:firstLine="540"/>
        <w:jc w:val="both"/>
      </w:pPr>
      <w:r>
        <w:rPr>
          <w:sz w:val="24"/>
        </w:rPr>
        <w:t xml:space="preserve">номер и дата регистрации лицензии на осуществление медицинской деятельности;</w:t>
      </w:r>
    </w:p>
    <w:p>
      <w:pPr>
        <w:pStyle w:val="0"/>
        <w:spacing w:before="240" w:lineRule="auto"/>
        <w:ind w:firstLine="540"/>
        <w:jc w:val="both"/>
      </w:pPr>
      <w:r>
        <w:rPr>
          <w:sz w:val="24"/>
        </w:rPr>
        <w:t xml:space="preserve">15) сведения об обособленных структурных подразделениях медицинской организации, предлагаемых к участию в реализации территориальной программы на соответствующий финансовый год:</w:t>
      </w:r>
    </w:p>
    <w:p>
      <w:pPr>
        <w:pStyle w:val="0"/>
        <w:spacing w:before="240" w:lineRule="auto"/>
        <w:ind w:firstLine="540"/>
        <w:jc w:val="both"/>
      </w:pPr>
      <w:r>
        <w:rPr>
          <w:sz w:val="24"/>
        </w:rPr>
        <w:t xml:space="preserve">полное наименование обособленного структурного подразделения медицинской организации в соответствии со сведениями ЕГРЮЛ;</w:t>
      </w:r>
    </w:p>
    <w:p>
      <w:pPr>
        <w:pStyle w:val="0"/>
        <w:spacing w:before="240" w:lineRule="auto"/>
        <w:ind w:firstLine="540"/>
        <w:jc w:val="both"/>
      </w:pPr>
      <w:r>
        <w:rPr>
          <w:sz w:val="24"/>
        </w:rPr>
        <w:t xml:space="preserve">вид обособленного структурного подразделения медицинской организации;</w:t>
      </w:r>
    </w:p>
    <w:p>
      <w:pPr>
        <w:pStyle w:val="0"/>
        <w:spacing w:before="240" w:lineRule="auto"/>
        <w:ind w:firstLine="540"/>
        <w:jc w:val="both"/>
      </w:pPr>
      <w:r>
        <w:rPr>
          <w:sz w:val="24"/>
        </w:rPr>
        <w:t xml:space="preserve">адрес обособленного структурного подразделения медицинской организации в пределах места нахождения обособленного структурного подразделения медицинской организации;</w:t>
      </w:r>
    </w:p>
    <w:p>
      <w:pPr>
        <w:pStyle w:val="0"/>
        <w:spacing w:before="240" w:lineRule="auto"/>
        <w:ind w:firstLine="540"/>
        <w:jc w:val="both"/>
      </w:pPr>
      <w:r>
        <w:rPr>
          <w:sz w:val="24"/>
        </w:rPr>
        <w:t xml:space="preserve">уникальный номер адреса обособленного структурного подразделения медицинской организации в пределах места нахождения обособленного структурного подразделения медицинской организации в государственном адресном реестре;</w:t>
      </w:r>
    </w:p>
    <w:p>
      <w:pPr>
        <w:pStyle w:val="0"/>
        <w:spacing w:before="240" w:lineRule="auto"/>
        <w:ind w:firstLine="540"/>
        <w:jc w:val="both"/>
      </w:pPr>
      <w:r>
        <w:rPr>
          <w:sz w:val="24"/>
        </w:rPr>
        <w:t xml:space="preserve">адрес электронной почты, номер телефона обособленного структурного подразделения медицинской организации;</w:t>
      </w:r>
    </w:p>
    <w:p>
      <w:pPr>
        <w:pStyle w:val="0"/>
        <w:spacing w:before="240" w:lineRule="auto"/>
        <w:ind w:firstLine="540"/>
        <w:jc w:val="both"/>
      </w:pPr>
      <w:r>
        <w:rPr>
          <w:sz w:val="24"/>
        </w:rPr>
        <w:t xml:space="preserve">фамилию, имя, отчество (при наличии) руководителя обособленного структурного подразделения медицинской организации;</w:t>
      </w:r>
    </w:p>
    <w:p>
      <w:pPr>
        <w:pStyle w:val="0"/>
        <w:spacing w:before="240" w:lineRule="auto"/>
        <w:ind w:firstLine="540"/>
        <w:jc w:val="both"/>
      </w:pPr>
      <w:r>
        <w:rPr>
          <w:sz w:val="24"/>
        </w:rPr>
        <w:t xml:space="preserve">банковские реквизиты обособленного структурного подразделения медицинской организации (при наличии);</w:t>
      </w:r>
    </w:p>
    <w:p>
      <w:pPr>
        <w:pStyle w:val="0"/>
        <w:spacing w:before="240" w:lineRule="auto"/>
        <w:ind w:firstLine="540"/>
        <w:jc w:val="both"/>
      </w:pPr>
      <w:r>
        <w:rPr>
          <w:sz w:val="24"/>
        </w:rPr>
        <w:t xml:space="preserve">16) сведения об адресах оказания медицинской помощи на территории субъекта Российской Федерации, расположенных по данным адресам обособленных структурных подразделениях медицинской организации и (или) наименованиях структурных подразделений, расположенных по данным адресам (при наличии), уникальные номера адресов оказания медицинской помощи в государственном адресном реестре;</w:t>
      </w:r>
    </w:p>
    <w:p>
      <w:pPr>
        <w:pStyle w:val="0"/>
        <w:spacing w:before="240" w:lineRule="auto"/>
        <w:ind w:firstLine="540"/>
        <w:jc w:val="both"/>
      </w:pPr>
      <w:r>
        <w:rPr>
          <w:sz w:val="24"/>
        </w:rPr>
        <w:t xml:space="preserve">17) мощность коечного фонда медицинской организации и количество врачей, участвующих в оказании первичной медико-санитарной помощи, в разрезе профилей и адресов оказания медицинской помощи, в том числе с выделением мощности, заявляемой для реализации территориальной программы;</w:t>
      </w:r>
    </w:p>
    <w:p>
      <w:pPr>
        <w:pStyle w:val="0"/>
        <w:spacing w:before="240" w:lineRule="auto"/>
        <w:ind w:firstLine="540"/>
        <w:jc w:val="both"/>
      </w:pPr>
      <w:r>
        <w:rPr>
          <w:sz w:val="24"/>
        </w:rPr>
        <w:t xml:space="preserve">18) виды и формы медицинской помощи, планируемые к оказанию медицинской организацией в рамках территориальной программы, в разрезе условий оказания и профилей медицинской помощи;</w:t>
      </w:r>
    </w:p>
    <w:p>
      <w:pPr>
        <w:pStyle w:val="0"/>
        <w:spacing w:before="240" w:lineRule="auto"/>
        <w:ind w:firstLine="540"/>
        <w:jc w:val="both"/>
      </w:pPr>
      <w:r>
        <w:rPr>
          <w:sz w:val="24"/>
        </w:rPr>
        <w:t xml:space="preserve">19) предложения о планируемых к выполнению объемах медицинской помощи на плановый год по видам и условиям оказания медицинской помощи в разрезе профилей, врачей-специалистов, количества вызовов скорой медицинской помощи, клинико-профильных/клинико-статистических групп заболеваний (далее - КСГ) по детскому и взрослому населению, а также планируемых к выполнению объемах диагностических и (или) консультативных услуг на плановый год взрослому и детскому населению согласно </w:t>
      </w:r>
      <w:hyperlink w:history="0" r:id="rId129"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номенклатуре</w:t>
        </w:r>
      </w:hyperlink>
      <w:r>
        <w:rPr>
          <w:sz w:val="24"/>
        </w:rPr>
        <w:t xml:space="preserve"> медицинских услуг &lt;17&gt;.</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&lt;17&gt; Утверждена </w:t>
      </w:r>
      <w:hyperlink w:history="0" r:id="rId130"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приказом</w:t>
        </w:r>
      </w:hyperlink>
      <w:r>
        <w:rPr>
          <w:sz w:val="24"/>
        </w:rPr>
        <w:t xml:space="preserve"> Министерства здравоохранения Российской Федерации от 13 октября 2017 г. N 804н "Об утверждении номенклатуры медицинских услуг" (зарегистрирован Министерством юстиции Российской Федерации 7 ноября 2017 г., регистрационный N 48808) с изменениями, внесенными приказами Министерства здравоохранения Российской Федерации от 16 апреля 2019 г. N 217н (зарегистрирован Министерством юстиции Российской Федерации 25 июня 2019 г., регистрационный N 55024), от 5 марта 2020 г. N 148н (зарегистрирован Министерством юстиции Российской Федерации 7 апреля 2020 г., регистрационный N 57990) и от 24 сентября 2020 г. N 1010н (зарегистрирован Министерством юстиции Российской Федерации 18 декабря 2020 г., регистрационный N 61562) (далее - приказ Министерства здравоохранения Российской Федерации N 804н).</w:t>
      </w:r>
    </w:p>
    <w:p>
      <w:pPr>
        <w:pStyle w:val="0"/>
        <w:jc w:val="both"/>
      </w:pPr>
      <w:r>
        <w:rPr>
          <w:sz w:val="24"/>
        </w:rPr>
      </w:r>
    </w:p>
    <w:p>
      <w:pPr>
        <w:pStyle w:val="0"/>
        <w:ind w:firstLine="540"/>
        <w:jc w:val="both"/>
      </w:pPr>
      <w:r>
        <w:rPr>
          <w:sz w:val="24"/>
        </w:rPr>
        <w:t xml:space="preserve">20) сведения об объемах медицинской помощи в разрезе профилей, оказанной медицинской организацией за счет всех источников финансового обеспечения (в разрезе источников финансового обеспечения) за год, предыдущий году подачи уведомления о включении в реестр медицинских организаций.</w:t>
      </w:r>
    </w:p>
    <w:p>
      <w:pPr>
        <w:pStyle w:val="0"/>
        <w:spacing w:before="240" w:lineRule="auto"/>
        <w:ind w:firstLine="540"/>
        <w:jc w:val="both"/>
      </w:pPr>
      <w:r>
        <w:rPr>
          <w:sz w:val="24"/>
        </w:rPr>
        <w:t xml:space="preserve">121. Медицинская организация государственной системы здравоохранения или муниципальной системы здравоохранения прилагает к уведомлению о включении в реестр медицинских организаций выписку из реестра лицензий в отношении лицензии медицинской организации на осуществление медицинской деятельности, сведения о которой приведены в уведомлении, копии документов, подтверждающих соответствие кадрового и материально-технического оснащения медицинской организации требованиям, установленным порядками оказания медицинской помощи, на оказание которой заявляется медицинская организация в соответствии с уведомлением о включении в реестр медицинских организаций, а также документов, отражающих показатели финансово-хозяйственной деятельности организации за 36 месяцев, предшествующих дате формирования уведомления о включении в реестр медицинских организаций, в том числе сведения о наличии кредиторской и дебиторской задолженности (за исключением медицинских организаций, не осуществлявших до даты подачи уведомления о включении в реестр медицинских организаций медицинскую деятельность).</w:t>
      </w:r>
    </w:p>
    <w:p>
      <w:pPr>
        <w:pStyle w:val="0"/>
        <w:spacing w:before="240" w:lineRule="auto"/>
        <w:ind w:firstLine="540"/>
        <w:jc w:val="both"/>
      </w:pPr>
      <w:r>
        <w:rPr>
          <w:sz w:val="24"/>
        </w:rPr>
        <w:t xml:space="preserve">122. В течение трех рабочих дней со дня направления медицинской организацией государственной системы здравоохранения или муниципальной системы здравоохранения в территориальный фонд уведомления о включении в реестр медицинских организаций территориальный фонд осуществляет его проверку на соответствие уведомления о включении в реестр медицинских организаций предусмотренным настоящими Правилами правилам его формирования и установленным </w:t>
      </w:r>
      <w:hyperlink w:history="0" r:id="rId131" w:tooltip="Федеральный закон от 29.11.2010 N 326-ФЗ (ред. от 20.02.2026) &quot;Об обязательном медицинском страховании в Российской Федерации&quot; {КонсультантПлюс}">
        <w:r>
          <w:rPr>
            <w:sz w:val="24"/>
            <w:color w:val="0000ff"/>
          </w:rPr>
          <w:t xml:space="preserve">статьей 15</w:t>
        </w:r>
      </w:hyperlink>
      <w:r>
        <w:rPr>
          <w:sz w:val="24"/>
        </w:rPr>
        <w:t xml:space="preserve"> Федерального закона срокам подачи.</w:t>
      </w:r>
    </w:p>
    <w:p>
      <w:pPr>
        <w:pStyle w:val="0"/>
        <w:spacing w:before="240" w:lineRule="auto"/>
        <w:ind w:firstLine="540"/>
        <w:jc w:val="both"/>
      </w:pPr>
      <w:r>
        <w:rPr>
          <w:sz w:val="24"/>
        </w:rPr>
        <w:t xml:space="preserve">123. Территориальный фонд при установлении соответствия о включении в реестр медицинских организаций правилам его формирования формирует запись реестра медицинских организаций, осуществляющих деятельность в сфере обязательного медицинского страхования, по указанной медицинской организации государственной системы здравоохранения или муниципальной системы здравоохранения и направляет в государственной информационной системе обязательного медицинского страхования протокол о включении медицинской организации государственной системы здравоохранения или муниципальной системы здравоохранения в реестр медицинских организаций, осуществляющих деятельность в сфере обязательного медицинского страхования.</w:t>
      </w:r>
    </w:p>
    <w:p>
      <w:pPr>
        <w:pStyle w:val="0"/>
        <w:spacing w:before="240" w:lineRule="auto"/>
        <w:ind w:firstLine="540"/>
        <w:jc w:val="both"/>
      </w:pPr>
      <w:r>
        <w:rPr>
          <w:sz w:val="24"/>
        </w:rPr>
        <w:t xml:space="preserve">124. При выявлении несоответствия уведомления о включении в реестр медицинских организаций, направленного медицинской организацией государственной системы здравоохранения или муниципальной системы здравоохранения в соответствии с </w:t>
      </w:r>
      <w:hyperlink w:history="0" w:anchor="P528" w:tooltip="120. Уведомление о включении в реестр медицинских организаций содержит следующие сведения о медицинской организации государственной системы здравоохранения или муниципальной системы здравоохранения:">
        <w:r>
          <w:rPr>
            <w:sz w:val="24"/>
            <w:color w:val="0000ff"/>
          </w:rPr>
          <w:t xml:space="preserve">пунктом 120</w:t>
        </w:r>
      </w:hyperlink>
      <w:r>
        <w:rPr>
          <w:sz w:val="24"/>
        </w:rPr>
        <w:t xml:space="preserve"> настоящих Правил, правилам его формирования, предусмотренным настоящими Правилами, и (или) срокам подачи уведомления о включении в реестр медицинских организаций, установленным </w:t>
      </w:r>
      <w:hyperlink w:history="0" r:id="rId132" w:tooltip="Федеральный закон от 29.11.2010 N 326-ФЗ (ред. от 20.02.2026) &quot;Об обязательном медицинском страховании в Российской Федерации&quot; {КонсультантПлюс}">
        <w:r>
          <w:rPr>
            <w:sz w:val="24"/>
            <w:color w:val="0000ff"/>
          </w:rPr>
          <w:t xml:space="preserve">статьей 15</w:t>
        </w:r>
      </w:hyperlink>
      <w:r>
        <w:rPr>
          <w:sz w:val="24"/>
        </w:rPr>
        <w:t xml:space="preserve"> Федерального закона, территориальный фонд направляет медицинской организации государственной системы здравоохранения или муниципальной системы здравоохранения в государственной информационной системе обязательного медицинского страхования протокол о несоответствии уведомления о включении в реестр медицинских организаций правилам и срокам его подачи.</w:t>
      </w:r>
    </w:p>
    <w:p>
      <w:pPr>
        <w:pStyle w:val="0"/>
        <w:spacing w:before="240" w:lineRule="auto"/>
        <w:ind w:firstLine="540"/>
        <w:jc w:val="both"/>
      </w:pPr>
      <w:r>
        <w:rPr>
          <w:sz w:val="24"/>
        </w:rPr>
        <w:t xml:space="preserve">125. Территориальный фонд не вправе отказать медицинской организации государственной системы здравоохранения или муниципальной системы здравоохранения во включении в реестр медицинских организаций.</w:t>
      </w:r>
    </w:p>
    <w:bookmarkStart w:id="572" w:name="P572"/>
    <w:bookmarkEnd w:id="572"/>
    <w:p>
      <w:pPr>
        <w:pStyle w:val="0"/>
        <w:spacing w:before="240" w:lineRule="auto"/>
        <w:ind w:firstLine="540"/>
        <w:jc w:val="both"/>
      </w:pPr>
      <w:r>
        <w:rPr>
          <w:sz w:val="24"/>
        </w:rPr>
        <w:t xml:space="preserve">126. Протокол о включении медицинской организации в реестр медицинских организаций, осуществляющих деятельность в сфере обязательного медицинского страхования, и протокол о несоответствии уведомления о включении в реестр медицинских организаций правилам и срокам его подачи формируются в государственной информационной системе обязательного медицинского страхования в форме электронного документа и подписываются усиленной квалифицированной электронной подписью лица, уполномоченного действовать от имени территориального фонда.</w:t>
      </w:r>
    </w:p>
    <w:p>
      <w:pPr>
        <w:pStyle w:val="0"/>
        <w:spacing w:before="240" w:lineRule="auto"/>
        <w:ind w:firstLine="540"/>
        <w:jc w:val="both"/>
      </w:pPr>
      <w:r>
        <w:rPr>
          <w:sz w:val="24"/>
        </w:rPr>
        <w:t xml:space="preserve">127. При получении протокола о несоответствии уведомления о включении в реестр медицинских организаций правилам его формирования, указанного в </w:t>
      </w:r>
      <w:hyperlink w:history="0" w:anchor="P572" w:tooltip="126. Протокол о включении медицинской организации в реестр медицинских организаций, осуществляющих деятельность в сфере обязательного медицинского страхования, и протокол о несоответствии уведомления о включении в реестр медицинских организаций правилам и срокам его подачи формируются в государственной информационной системе обязательного медицинского страхования в форме электронного документа и подписываются усиленной квалифицированной электронной подписью лица, уполномоченного действовать от имени терр...">
        <w:r>
          <w:rPr>
            <w:sz w:val="24"/>
            <w:color w:val="0000ff"/>
          </w:rPr>
          <w:t xml:space="preserve">пункте 126</w:t>
        </w:r>
      </w:hyperlink>
      <w:r>
        <w:rPr>
          <w:sz w:val="24"/>
        </w:rPr>
        <w:t xml:space="preserve"> настоящих Правил, медицинская организация вправе внести уточнения в уведомление о включении в реестр медицинских организаций и повторно представить его в территориальный фонд в рамках предусмотренных в </w:t>
      </w:r>
      <w:hyperlink w:history="0" r:id="rId133" w:tooltip="Федеральный закон от 29.11.2010 N 326-ФЗ (ред. от 20.02.2026) &quot;Об обязательном медицинском страховании в Российской Федерации&quot; {КонсультантПлюс}">
        <w:r>
          <w:rPr>
            <w:sz w:val="24"/>
            <w:color w:val="0000ff"/>
          </w:rPr>
          <w:t xml:space="preserve">статье 15</w:t>
        </w:r>
      </w:hyperlink>
      <w:r>
        <w:rPr>
          <w:sz w:val="24"/>
        </w:rPr>
        <w:t xml:space="preserve"> Федерального закона сроков.</w:t>
      </w:r>
    </w:p>
    <w:p>
      <w:pPr>
        <w:pStyle w:val="0"/>
        <w:spacing w:before="240" w:lineRule="auto"/>
        <w:ind w:firstLine="540"/>
        <w:jc w:val="both"/>
      </w:pPr>
      <w:r>
        <w:rPr>
          <w:sz w:val="24"/>
        </w:rPr>
        <w:t xml:space="preserve">128. В соответствии с </w:t>
      </w:r>
      <w:hyperlink w:history="0" r:id="rId134" w:tooltip="Федеральный закон от 29.11.2010 N 326-ФЗ (ред. от 20.02.2026) &quot;Об обязательном медицинском страховании в Российской Федерации&quot; {КонсультантПлюс}">
        <w:r>
          <w:rPr>
            <w:sz w:val="24"/>
            <w:color w:val="0000ff"/>
          </w:rPr>
          <w:t xml:space="preserve">частью 2 статьи 15</w:t>
        </w:r>
      </w:hyperlink>
      <w:r>
        <w:rPr>
          <w:sz w:val="24"/>
        </w:rPr>
        <w:t xml:space="preserve"> Федерального закона медицинская организация частной системы здравоохранения включается в реестр медицинских организаций на основании заявления, направляемого ею в территориальный фонд субъекта Российской Федерации, на территории которого такая медицинская организация намерена осуществлять деятельность в сфере обязательного медицинского страхования, в порядке и по форме, установленным Правительством Российской Федерации.</w:t>
      </w:r>
    </w:p>
    <w:p>
      <w:pPr>
        <w:pStyle w:val="0"/>
        <w:spacing w:before="240" w:lineRule="auto"/>
        <w:ind w:firstLine="540"/>
        <w:jc w:val="both"/>
      </w:pPr>
      <w:r>
        <w:rPr>
          <w:sz w:val="24"/>
        </w:rPr>
        <w:t xml:space="preserve">129. В соответствии с </w:t>
      </w:r>
      <w:hyperlink w:history="0" r:id="rId135" w:tooltip="Федеральный закон от 29.11.2010 N 326-ФЗ (ред. от 20.02.2026) &quot;Об обязательном медицинском страховании в Российской Федерации&quot; {КонсультантПлюс}">
        <w:r>
          <w:rPr>
            <w:sz w:val="24"/>
            <w:color w:val="0000ff"/>
          </w:rPr>
          <w:t xml:space="preserve">частью 2.1 статьи 15</w:t>
        </w:r>
      </w:hyperlink>
      <w:r>
        <w:rPr>
          <w:sz w:val="24"/>
        </w:rPr>
        <w:t xml:space="preserve"> Федерального закона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вправе установить срок направления уведомления о включении медицинской организации в реестр медицинских организаций, отличный от предусмотренного </w:t>
      </w:r>
      <w:hyperlink w:history="0" r:id="rId136" w:tooltip="Федеральный закон от 29.11.2010 N 326-ФЗ (ред. от 20.02.2026) &quot;Об обязательном медицинском страховании в Российской Федерации&quot; {КонсультантПлюс}">
        <w:r>
          <w:rPr>
            <w:sz w:val="24"/>
            <w:color w:val="0000ff"/>
          </w:rPr>
          <w:t xml:space="preserve">частью 2 статьи 15</w:t>
        </w:r>
      </w:hyperlink>
      <w:r>
        <w:rPr>
          <w:sz w:val="24"/>
        </w:rPr>
        <w:t xml:space="preserve"> Федерального закона.</w:t>
      </w:r>
    </w:p>
    <w:bookmarkStart w:id="576" w:name="P576"/>
    <w:bookmarkEnd w:id="576"/>
    <w:p>
      <w:pPr>
        <w:pStyle w:val="0"/>
        <w:spacing w:before="240" w:lineRule="auto"/>
        <w:ind w:firstLine="540"/>
        <w:jc w:val="both"/>
      </w:pPr>
      <w:r>
        <w:rPr>
          <w:sz w:val="24"/>
        </w:rPr>
        <w:t xml:space="preserve">130. В случае изменения сведений о медицинской организации, указанных в </w:t>
      </w:r>
      <w:hyperlink w:history="0" w:anchor="P497" w:tooltip="13) адрес электронной почты, номер телефона медицинской организации (индивидуального предпринимателя, осуществляющего медицинскую деятельность);">
        <w:r>
          <w:rPr>
            <w:sz w:val="24"/>
            <w:color w:val="0000ff"/>
          </w:rPr>
          <w:t xml:space="preserve">подпунктах 13</w:t>
        </w:r>
      </w:hyperlink>
      <w:r>
        <w:rPr>
          <w:sz w:val="24"/>
        </w:rPr>
        <w:t xml:space="preserve">, </w:t>
      </w:r>
      <w:hyperlink w:history="0" w:anchor="P499" w:tooltip="15) банковские реквизиты медицинской организации;">
        <w:r>
          <w:rPr>
            <w:sz w:val="24"/>
            <w:color w:val="0000ff"/>
          </w:rPr>
          <w:t xml:space="preserve">15</w:t>
        </w:r>
      </w:hyperlink>
      <w:r>
        <w:rPr>
          <w:sz w:val="24"/>
        </w:rPr>
        <w:t xml:space="preserve">, </w:t>
      </w:r>
      <w:hyperlink w:history="0" w:anchor="P505" w:tooltip="17) сведения об обособленных структурных подразделениях медицинской организации, осуществляющих деятельность по реализации территориальной программы субъекта Российской Федерации:">
        <w:r>
          <w:rPr>
            <w:sz w:val="24"/>
            <w:color w:val="0000ff"/>
          </w:rPr>
          <w:t xml:space="preserve">17</w:t>
        </w:r>
      </w:hyperlink>
      <w:r>
        <w:rPr>
          <w:sz w:val="24"/>
        </w:rPr>
        <w:t xml:space="preserve"> - </w:t>
      </w:r>
      <w:hyperlink w:history="0" w:anchor="P515" w:tooltip="19) мощность коечного фонда медицинской организации и количество врачей, участвующих в оказании первичной медико-санитарной помощи, в разрезе профилей и адресов оказания медицинской помощи;">
        <w:r>
          <w:rPr>
            <w:sz w:val="24"/>
            <w:color w:val="0000ff"/>
          </w:rPr>
          <w:t xml:space="preserve">19 пункта 117</w:t>
        </w:r>
      </w:hyperlink>
      <w:r>
        <w:rPr>
          <w:sz w:val="24"/>
        </w:rPr>
        <w:t xml:space="preserve"> настоящих Правил, медицинская организация не позднее двух рабочих дней со дня наступления указанных изменений направляет в территориальный фонд уведомление об изменении сведений о медицинской организации. Уведомление об изменении сведений о медицинской организации формируется в форме электронного документа и подписывается усиленной квалифицированной электронной подписью лица, уполномоченного действовать от имени медицинской организации.</w:t>
      </w:r>
    </w:p>
    <w:bookmarkStart w:id="577" w:name="P577"/>
    <w:bookmarkEnd w:id="577"/>
    <w:p>
      <w:pPr>
        <w:pStyle w:val="0"/>
        <w:spacing w:before="240" w:lineRule="auto"/>
        <w:ind w:firstLine="540"/>
        <w:jc w:val="both"/>
      </w:pPr>
      <w:r>
        <w:rPr>
          <w:sz w:val="24"/>
        </w:rPr>
        <w:t xml:space="preserve">131. Территориальный фонд в течение двух рабочих дней со дня направления медицинской организацией уведомления, указанного в </w:t>
      </w:r>
      <w:hyperlink w:history="0" w:anchor="P576" w:tooltip="130. В случае изменения сведений о медицинской организации, указанных в подпунктах 13, 15, 17 - 19 пункта 117 настоящих Правил, медицинская организация не позднее двух рабочих дней со дня наступления указанных изменений направляет в территориальный фонд уведомление об изменении сведений о медицинской организации. Уведомление об изменении сведений о медицинской организации формируется в форме электронного документа и подписывается усиленной квалифицированной электронной подписью лица, уполномоченного дейс...">
        <w:r>
          <w:rPr>
            <w:sz w:val="24"/>
            <w:color w:val="0000ff"/>
          </w:rPr>
          <w:t xml:space="preserve">пункте 130</w:t>
        </w:r>
      </w:hyperlink>
      <w:r>
        <w:rPr>
          <w:sz w:val="24"/>
        </w:rPr>
        <w:t xml:space="preserve"> настоящих Правил, осуществляет форматно-логическую проверку сведений, указанных в уведомлении об изменении сведений о медицинской организации, а также проверку сведений на соответствие правил их формирования правилам, установленным настоящими Правилами для формирования уведомления о внесении изменений сведений о медицинской организации в реестр медицинских организаций, осуществляющих деятельность в сфере обязательного медицинского страхования, и в случае прохождения проверки вносит изменения в запись реестра медицинских организаций, осуществляющих деятельность в сфере обязательного медицинского страхования, по соответствующей медицинской организации и направляет медицинской организации в государственной информационной системе обязательного медицинского страхования протокол об изменении сведений записи реестра медицинских организаций, осуществляющих деятельность в сфере обязательного медицинского страхования.</w:t>
      </w:r>
    </w:p>
    <w:p>
      <w:pPr>
        <w:pStyle w:val="0"/>
        <w:spacing w:before="240" w:lineRule="auto"/>
        <w:ind w:firstLine="540"/>
        <w:jc w:val="both"/>
      </w:pPr>
      <w:r>
        <w:rPr>
          <w:sz w:val="24"/>
        </w:rPr>
        <w:t xml:space="preserve">132. При непрохождении уведомлением об изменении сведений о медицинской организации проверки, указанной в </w:t>
      </w:r>
      <w:hyperlink w:history="0" w:anchor="P577" w:tooltip="131. Территориальный фонд в течение двух рабочих дней со дня направления медицинской организацией уведомления, указанного в пункте 130 настоящих Правил, осуществляет форматно-логическую проверку сведений, указанных в уведомлении об изменении сведений о медицинской организации, а также проверку сведений на соответствие правил их формирования правилам, установленным настоящими Правилами для формирования уведомления о внесении изменений сведений о медицинской организации в реестр медицинских организаций, ос...">
        <w:r>
          <w:rPr>
            <w:sz w:val="24"/>
            <w:color w:val="0000ff"/>
          </w:rPr>
          <w:t xml:space="preserve">пункте 131</w:t>
        </w:r>
      </w:hyperlink>
      <w:r>
        <w:rPr>
          <w:sz w:val="24"/>
        </w:rPr>
        <w:t xml:space="preserve"> настоящих Правил, территориальный фонд направляет медицинской организации в государственной информационной системе обязательного медицинского страхования протокол об отклонении уведомления об изменении сведений о медицинской организации.</w:t>
      </w:r>
    </w:p>
    <w:p>
      <w:pPr>
        <w:pStyle w:val="0"/>
        <w:spacing w:before="240" w:lineRule="auto"/>
        <w:ind w:firstLine="540"/>
        <w:jc w:val="both"/>
      </w:pPr>
      <w:r>
        <w:rPr>
          <w:sz w:val="24"/>
        </w:rPr>
        <w:t xml:space="preserve">133. Протокол об изменении сведений записи реестра медицинских организаций, осуществляющих деятельность в сфере обязательного медицинского страхования, и протокол об отклонении уведомления об изменении сведений о медицинской организации формируются в государственной информационной системе обязательного медицинского страхования в форме электронного документа и подписываются усиленной квалифицированной электронной подписью лица, уполномоченного действовать от имени территориального фонда.</w:t>
      </w:r>
    </w:p>
    <w:p>
      <w:pPr>
        <w:pStyle w:val="0"/>
        <w:spacing w:before="240" w:lineRule="auto"/>
        <w:ind w:firstLine="540"/>
        <w:jc w:val="both"/>
      </w:pPr>
      <w:r>
        <w:rPr>
          <w:sz w:val="24"/>
        </w:rPr>
        <w:t xml:space="preserve">134. Медицинская организация в течение двух рабочих дней со дня получения протокола об отклонении уведомления об изменении сведений о медицинской организации обеспечивает внесение изменений в указанное уведомление и направление скорректированной его редакции в территориальный фонд в государственной информационной системе обязательного медицинского страхования.</w:t>
      </w:r>
    </w:p>
    <w:p>
      <w:pPr>
        <w:pStyle w:val="0"/>
        <w:spacing w:before="240" w:lineRule="auto"/>
        <w:ind w:firstLine="540"/>
        <w:jc w:val="both"/>
      </w:pPr>
      <w:r>
        <w:rPr>
          <w:sz w:val="24"/>
        </w:rPr>
        <w:t xml:space="preserve">135. Сведения реестра медицинских организаций, осуществляющих деятельность в сфере обязательного медицинского страхования, указанные в </w:t>
      </w:r>
      <w:hyperlink w:history="0" w:anchor="P477" w:tooltip="4) полное и сокращенное (при наличии) наименования медицинской организации в соответствии со сведениями ЕГРЮЛ;">
        <w:r>
          <w:rPr>
            <w:sz w:val="24"/>
            <w:color w:val="0000ff"/>
          </w:rPr>
          <w:t xml:space="preserve">подпунктах 4</w:t>
        </w:r>
      </w:hyperlink>
      <w:r>
        <w:rPr>
          <w:sz w:val="24"/>
        </w:rPr>
        <w:t xml:space="preserve"> - </w:t>
      </w:r>
      <w:hyperlink w:history="0" w:anchor="P484" w:tooltip="10) сведения об учредителе (учредителях) медицинской организации, являющейся государственным (муниципальным) учреждением:">
        <w:r>
          <w:rPr>
            <w:sz w:val="24"/>
            <w:color w:val="0000ff"/>
          </w:rPr>
          <w:t xml:space="preserve">10</w:t>
        </w:r>
      </w:hyperlink>
      <w:r>
        <w:rPr>
          <w:sz w:val="24"/>
        </w:rPr>
        <w:t xml:space="preserve">, </w:t>
      </w:r>
      <w:hyperlink w:history="0" w:anchor="P494" w:tooltip="12) адрес медицинской организации в пределах места нахождения медицинской организации;">
        <w:r>
          <w:rPr>
            <w:sz w:val="24"/>
            <w:color w:val="0000ff"/>
          </w:rPr>
          <w:t xml:space="preserve">12</w:t>
        </w:r>
      </w:hyperlink>
      <w:r>
        <w:rPr>
          <w:sz w:val="24"/>
        </w:rPr>
        <w:t xml:space="preserve">, </w:t>
      </w:r>
      <w:hyperlink w:history="0" w:anchor="P498" w:tooltip="14) фамилию, имя, отчество (при наличии) руководителя и иных лиц медицинской организации, имеющих право действовать от имени медицинской организации без доверенности (для медицинской организации);">
        <w:r>
          <w:rPr>
            <w:sz w:val="24"/>
            <w:color w:val="0000ff"/>
          </w:rPr>
          <w:t xml:space="preserve">14</w:t>
        </w:r>
      </w:hyperlink>
      <w:r>
        <w:rPr>
          <w:sz w:val="24"/>
        </w:rPr>
        <w:t xml:space="preserve">, </w:t>
      </w:r>
      <w:hyperlink w:history="0" w:anchor="P518" w:tooltip="22) виды, условия и профили медицинской помощи, оказываемой медицинской организацией в рамках территориальной программы, в том числе в разрезе обособленных структурных подразделений медицинской организации (при наличии);">
        <w:r>
          <w:rPr>
            <w:sz w:val="24"/>
            <w:color w:val="0000ff"/>
          </w:rPr>
          <w:t xml:space="preserve">22</w:t>
        </w:r>
      </w:hyperlink>
      <w:r>
        <w:rPr>
          <w:sz w:val="24"/>
        </w:rPr>
        <w:t xml:space="preserve"> - </w:t>
      </w:r>
      <w:hyperlink w:history="0" w:anchor="P525" w:tooltip="29) причину и основание исключения медицинской организации из реестра медицинских организаций, осуществляющих деятельность в сфере обязательного страхования, в соответствующем финансовом году.">
        <w:r>
          <w:rPr>
            <w:sz w:val="24"/>
            <w:color w:val="0000ff"/>
          </w:rPr>
          <w:t xml:space="preserve">29 пункта 117</w:t>
        </w:r>
      </w:hyperlink>
      <w:r>
        <w:rPr>
          <w:sz w:val="24"/>
        </w:rPr>
        <w:t xml:space="preserve"> настоящих Правил, изменяются территориальным фондом, в том числе автоматически, на основании соответственно ЕГРЮЛ, ЕГРИП, сведений реестра участников бюджетного процесса и иных лиц, не являющихся участниками бюджетного процесса (в части сведений об учредителе (учредителях) медицинских организаций, являющихся государственными (муниципальными) учреждениями, и банковских реквизитов государственных (муниципальных) учреждений (их обособленных структурных подразделений), документов и отчетности, предусмотренных к формированию, утверждению или представлению в соответствии с законодательством Российской Федерации об обязательном медицинском страховании.</w:t>
      </w:r>
    </w:p>
    <w:bookmarkStart w:id="582" w:name="P582"/>
    <w:bookmarkEnd w:id="582"/>
    <w:p>
      <w:pPr>
        <w:pStyle w:val="0"/>
        <w:spacing w:before="240" w:lineRule="auto"/>
        <w:ind w:firstLine="540"/>
        <w:jc w:val="both"/>
      </w:pPr>
      <w:r>
        <w:rPr>
          <w:sz w:val="24"/>
        </w:rPr>
        <w:t xml:space="preserve">136. Медицинские организации, включенные в реестр медицинских организаций, осуществляющих деятельность в сфере обязательного медицинского страхования, не имеют права в течение года, в котором они осуществляют деятельность в сфере обязательного медицинского страхования, выйти из числа медицинских организаций, осуществляющих деятельность в сфере обязательного медицинского страхования, за исключением случаев ликвидации медицинской организации, утраты права на осуществление медицинской деятельности, банкротства или иных предусмотренных законодательством Российской Федерации случаев &lt;18&gt;.</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&lt;18&gt; </w:t>
      </w:r>
      <w:hyperlink w:history="0" r:id="rId137" w:tooltip="Федеральный закон от 29.11.2010 N 326-ФЗ (ред. от 20.02.2026) &quot;Об обязательном медицинском страховании в Российской Федерации&quot; {КонсультантПлюс}">
        <w:r>
          <w:rPr>
            <w:sz w:val="24"/>
            <w:color w:val="0000ff"/>
          </w:rPr>
          <w:t xml:space="preserve">Часть 4 статьи 15</w:t>
        </w:r>
      </w:hyperlink>
      <w:r>
        <w:rPr>
          <w:sz w:val="24"/>
        </w:rPr>
        <w:t xml:space="preserve"> Федерального закона.</w:t>
      </w:r>
    </w:p>
    <w:p>
      <w:pPr>
        <w:pStyle w:val="0"/>
        <w:jc w:val="both"/>
      </w:pPr>
      <w:r>
        <w:rPr>
          <w:sz w:val="24"/>
        </w:rPr>
      </w:r>
    </w:p>
    <w:p>
      <w:pPr>
        <w:pStyle w:val="0"/>
        <w:ind w:firstLine="540"/>
        <w:jc w:val="both"/>
      </w:pPr>
      <w:r>
        <w:rPr>
          <w:sz w:val="24"/>
        </w:rPr>
        <w:t xml:space="preserve">137. Исключение медицинских организаций из реестра медицинских организаций, осуществляющих деятельность в сфере обязательного медицинского страхования, в случаях, указанных в </w:t>
      </w:r>
      <w:hyperlink w:history="0" w:anchor="P582" w:tooltip="136. Медицинские организации, включенные в реестр медицинских организаций, осуществляющих деятельность в сфере обязательного медицинского страхования, не имеют права в течение года, в котором они осуществляют деятельность в сфере обязательного медицинского страхования, выйти из числа медицинских организаций, осуществляющих деятельность в сфере обязательного медицинского страхования, за исключением случаев ликвидации медицинской организации, утраты права на осуществление медицинской деятельности, банкротс...">
        <w:r>
          <w:rPr>
            <w:sz w:val="24"/>
            <w:color w:val="0000ff"/>
          </w:rPr>
          <w:t xml:space="preserve">пункте 136</w:t>
        </w:r>
      </w:hyperlink>
      <w:r>
        <w:rPr>
          <w:sz w:val="24"/>
        </w:rPr>
        <w:t xml:space="preserve"> настоящих Правил, осуществляется в течение одного рабочего дня со дня получения территориальным фондом сведений, указанных в </w:t>
      </w:r>
      <w:hyperlink w:history="0" w:anchor="P582" w:tooltip="136. Медицинские организации, включенные в реестр медицинских организаций, осуществляющих деятельность в сфере обязательного медицинского страхования, не имеют права в течение года, в котором они осуществляют деятельность в сфере обязательного медицинского страхования, выйти из числа медицинских организаций, осуществляющих деятельность в сфере обязательного медицинского страхования, за исключением случаев ликвидации медицинской организации, утраты права на осуществление медицинской деятельности, банкротс...">
        <w:r>
          <w:rPr>
            <w:sz w:val="24"/>
            <w:color w:val="0000ff"/>
          </w:rPr>
          <w:t xml:space="preserve">пункте 136</w:t>
        </w:r>
      </w:hyperlink>
      <w:r>
        <w:rPr>
          <w:sz w:val="24"/>
        </w:rPr>
        <w:t xml:space="preserve"> настоящих Правил.</w:t>
      </w:r>
    </w:p>
    <w:p>
      <w:pPr>
        <w:pStyle w:val="0"/>
        <w:spacing w:before="240" w:lineRule="auto"/>
        <w:ind w:firstLine="540"/>
        <w:jc w:val="both"/>
      </w:pPr>
      <w:r>
        <w:rPr>
          <w:sz w:val="24"/>
        </w:rPr>
        <w:t xml:space="preserve">138. Территориальный фонд исключает медицинские организации из реестра медицинских организаций, осуществляющих деятельность в сфере обязательного медицинского страхования, в течение двух рабочих дней со дня истечения срока реализации территориальной программы.</w:t>
      </w:r>
    </w:p>
    <w:p>
      <w:pPr>
        <w:pStyle w:val="0"/>
        <w:spacing w:before="240" w:lineRule="auto"/>
        <w:ind w:firstLine="540"/>
        <w:jc w:val="both"/>
      </w:pPr>
      <w:r>
        <w:rPr>
          <w:sz w:val="24"/>
        </w:rPr>
        <w:t xml:space="preserve">139. При исключении медицинской организации из реестра медицинских организаций, осуществляющих деятельность в сфере обязательного медицинского страхования, территориальный фонд формирует и направляет медицинской организации в государственной информационной системе обязательного медицинского страхования протокол об исключении медицинской организации из реестра медицинских организаций, осуществляющих деятельность в сфере обязательного медицинского страхования.</w:t>
      </w:r>
    </w:p>
    <w:p>
      <w:pPr>
        <w:pStyle w:val="0"/>
        <w:spacing w:before="240" w:lineRule="auto"/>
        <w:ind w:firstLine="540"/>
        <w:jc w:val="both"/>
      </w:pPr>
      <w:r>
        <w:rPr>
          <w:sz w:val="24"/>
        </w:rPr>
        <w:t xml:space="preserve">140. Протокол об исключении медицинской организации из реестра медицинских организаций, осуществляющих деятельность в сфере обязательного медицинского страхования, формируется территориальным фондом в форме электронного документа и подписывается усиленной квалифицированной электронной подписью лица, уполномоченного действовать от имени территориального фонда.</w:t>
      </w:r>
    </w:p>
    <w:p>
      <w:pPr>
        <w:pStyle w:val="0"/>
        <w:spacing w:before="240" w:lineRule="auto"/>
        <w:ind w:firstLine="540"/>
        <w:jc w:val="both"/>
      </w:pPr>
      <w:r>
        <w:rPr>
          <w:sz w:val="24"/>
        </w:rPr>
        <w:t xml:space="preserve">141. Медицинская организация, включенная в реестр медицинских организаций, осуществляющих деятельность в сфере обязательного медицинского страхования, до заключения договора на оказание и оплату медицинской помощи по обязательному медицинскому страхованию вправе направить в территориальный фонд уведомление об исключении из реестра медицинских организаций, осуществляющих деятельность в сфере обязательного медицинского страхования.</w:t>
      </w:r>
    </w:p>
    <w:p>
      <w:pPr>
        <w:pStyle w:val="0"/>
        <w:spacing w:before="240" w:lineRule="auto"/>
        <w:ind w:firstLine="540"/>
        <w:jc w:val="both"/>
      </w:pPr>
      <w:r>
        <w:rPr>
          <w:sz w:val="24"/>
        </w:rPr>
        <w:t xml:space="preserve">142. Форма протокола о включении медицинской организации государственной системы здравоохранения или муниципальной системы здравоохранения в реестр медицинских организаций, осуществляющих деятельность в сфере обязательного медицинского страхования; протокола о несоответствии уведомления о включении в реестр медицинских организаций правилам и срокам его подачи; уведомления об изменении сведений о медицинской организации; протокола об изменении сведений записи реестра медицинских организаций, осуществляющих деятельность в сфере обязательного медицинского страхования; протокола об отклонении уведомления об изменении сведений о медицинской организации; уведомления об исключении медицинской организации из реестра медицинских организаций, а также порядок направления и рассмотрения устанавливаются Федеральным фондом в соответствии с </w:t>
      </w:r>
      <w:hyperlink w:history="0" r:id="rId138" w:tooltip="Федеральный закон от 29.11.2010 N 326-ФЗ (ред. от 20.02.2026) &quot;Об обязательном медицинском страховании в Российской Федерации&quot; {КонсультантПлюс}">
        <w:r>
          <w:rPr>
            <w:sz w:val="24"/>
            <w:color w:val="0000ff"/>
          </w:rPr>
          <w:t xml:space="preserve">пунктом 6.1 части 8 статьи 33</w:t>
        </w:r>
      </w:hyperlink>
      <w:r>
        <w:rPr>
          <w:sz w:val="24"/>
        </w:rPr>
        <w:t xml:space="preserve"> Федерального закона.</w:t>
      </w:r>
    </w:p>
    <w:p>
      <w:pPr>
        <w:pStyle w:val="0"/>
        <w:spacing w:before="240" w:lineRule="auto"/>
        <w:ind w:firstLine="540"/>
        <w:jc w:val="both"/>
      </w:pPr>
      <w:r>
        <w:rPr>
          <w:sz w:val="24"/>
        </w:rPr>
        <w:t xml:space="preserve">143. Уведомление об исключении из реестра медицинских организаций, осуществляющих деятельность в сфере обязательного медицинского страхования, формируется медицинской организацией в государственной информационной системе обязательного медицинского страхования в форме электронного документа и подписывается усиленной квалифицированной электронной подписью лица, уполномоченного действовать от имени медицинской организации.</w:t>
      </w:r>
    </w:p>
    <w:p>
      <w:pPr>
        <w:pStyle w:val="0"/>
        <w:spacing w:before="240" w:lineRule="auto"/>
        <w:ind w:firstLine="540"/>
        <w:jc w:val="both"/>
      </w:pPr>
      <w:r>
        <w:rPr>
          <w:sz w:val="24"/>
        </w:rPr>
        <w:t xml:space="preserve">144. Территориальный фонд на следующий рабочий день после дня получения территориальным фондом указанного уведомления исключает медицинскую организацию из реестра медицинских организаций, осуществляющих деятельность в сфере обязательного медицинского страхования, и в течение трех рабочих дней со дня получения уведомления направляет медицинской организации в государственной информационной системе обязательного медицинского страхования протокол об исключении медицинской организации из реестра медицинских организаций, осуществляющих деятельность в сфере обязательного медицинского страхования, сформированный в соответствии с </w:t>
      </w:r>
      <w:hyperlink w:history="0" w:anchor="P582" w:tooltip="136. Медицинские организации, включенные в реестр медицинских организаций, осуществляющих деятельность в сфере обязательного медицинского страхования, не имеют права в течение года, в котором они осуществляют деятельность в сфере обязательного медицинского страхования, выйти из числа медицинских организаций, осуществляющих деятельность в сфере обязательного медицинского страхования, за исключением случаев ликвидации медицинской организации, утраты права на осуществление медицинской деятельности, банкротс...">
        <w:r>
          <w:rPr>
            <w:sz w:val="24"/>
            <w:color w:val="0000ff"/>
          </w:rPr>
          <w:t xml:space="preserve">пунктом 136</w:t>
        </w:r>
      </w:hyperlink>
      <w:r>
        <w:rPr>
          <w:sz w:val="24"/>
        </w:rPr>
        <w:t xml:space="preserve"> настоящих Правил.</w:t>
      </w:r>
    </w:p>
    <w:p>
      <w:pPr>
        <w:pStyle w:val="0"/>
        <w:spacing w:before="240" w:lineRule="auto"/>
        <w:ind w:firstLine="540"/>
        <w:jc w:val="both"/>
      </w:pPr>
      <w:r>
        <w:rPr>
          <w:sz w:val="24"/>
        </w:rPr>
        <w:t xml:space="preserve">145. Медицинская организация, осуществляющая оказание медицинской помощи, финансовое обеспечение которой осуществляется в соответствии с </w:t>
      </w:r>
      <w:hyperlink w:history="0" r:id="rId139" w:tooltip="Федеральный закон от 29.11.2010 N 326-ФЗ (ред. от 20.02.2026) &quot;Об обязательном медицинском страховании в Российской Федерации&quot; {КонсультантПлюс}">
        <w:r>
          <w:rPr>
            <w:sz w:val="24"/>
            <w:color w:val="0000ff"/>
          </w:rPr>
          <w:t xml:space="preserve">частью 11 статьи 5</w:t>
        </w:r>
      </w:hyperlink>
      <w:r>
        <w:rPr>
          <w:sz w:val="24"/>
        </w:rPr>
        <w:t xml:space="preserve"> Федерального закона, включается Федеральным фондом в единый реестр медицинских организаций на основании заявки, направляемой указанной медицинской организацией по </w:t>
      </w:r>
      <w:hyperlink w:history="0" r:id="rId140" w:tooltip="Приказ Минздрава России от 21.12.2020 N 1346н &quot;Об утверждении формы и порядка подачи заявки на распределение медицинской организации объемов предоставления медицинской помощи, финансовое обеспечение которой осуществляется в соответствии с пунктом 11 статьи 5 Федерального закона от 29 ноября 2010 г. N 326-ФЗ &quot;Об обязательном медицинском страховании в Российской Федерации&quot; (Зарегистрировано в Минюсте России 25.12.2020 N 61812) {КонсультантПлюс}">
        <w:r>
          <w:rPr>
            <w:sz w:val="24"/>
            <w:color w:val="0000ff"/>
          </w:rPr>
          <w:t xml:space="preserve">форме</w:t>
        </w:r>
      </w:hyperlink>
      <w:r>
        <w:rPr>
          <w:sz w:val="24"/>
        </w:rPr>
        <w:t xml:space="preserve"> и в </w:t>
      </w:r>
      <w:hyperlink w:history="0" r:id="rId141" w:tooltip="Приказ Минздрава России от 21.12.2020 N 1346н &quot;Об утверждении формы и порядка подачи заявки на распределение медицинской организации объемов предоставления медицинской помощи, финансовое обеспечение которой осуществляется в соответствии с пунктом 11 статьи 5 Федерального закона от 29 ноября 2010 г. N 326-ФЗ &quot;Об обязательном медицинском страховании в Российской Федерации&quot; (Зарегистрировано в Минюсте России 25.12.2020 N 61812) {КонсультантПлюс}">
        <w:r>
          <w:rPr>
            <w:sz w:val="24"/>
            <w:color w:val="0000ff"/>
          </w:rPr>
          <w:t xml:space="preserve">порядке</w:t>
        </w:r>
      </w:hyperlink>
      <w:r>
        <w:rPr>
          <w:sz w:val="24"/>
        </w:rPr>
        <w:t xml:space="preserve">, утвержденным приказом Министерства здравоохранения Российской Федерации от 21 декабря 2020 г. N 1346н "Об утверждении формы и порядка подачи заявки на распределение медицинской организации объемов предоставления медицинской помощи, финансовое обеспечение которой осуществляется в соответствии с пунктом 11 статьи 5 Федерального закона от 29 ноября 2010 г. N 326-ФЗ "Об обязательном медицинском страховании в Российской Федерации" &lt;19&gt;.</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&lt;19&gt; Зарегистрирован Министерством юстиции Российской Федерации 25 декабря 2020 г., регистрационный N 61812.</w:t>
      </w:r>
    </w:p>
    <w:p>
      <w:pPr>
        <w:pStyle w:val="0"/>
        <w:jc w:val="both"/>
      </w:pPr>
      <w:r>
        <w:rPr>
          <w:sz w:val="24"/>
        </w:rPr>
      </w:r>
    </w:p>
    <w:p>
      <w:pPr>
        <w:pStyle w:val="0"/>
        <w:ind w:firstLine="540"/>
        <w:jc w:val="both"/>
      </w:pPr>
      <w:r>
        <w:rPr>
          <w:sz w:val="24"/>
        </w:rPr>
        <w:t xml:space="preserve">146. Федеральный фонд вносит в записи единого реестра медицинских организаций сведения об исключении медицинской организации, осуществляющей оказание медицинской помощи, финансовое обеспечение которой осуществляется в соответствии с </w:t>
      </w:r>
      <w:hyperlink w:history="0" r:id="rId142" w:tooltip="Федеральный закон от 29.11.2010 N 326-ФЗ (ред. от 20.02.2026) &quot;Об обязательном медицинском страховании в Российской Федерации&quot; {КонсультантПлюс}">
        <w:r>
          <w:rPr>
            <w:sz w:val="24"/>
            <w:color w:val="0000ff"/>
          </w:rPr>
          <w:t xml:space="preserve">частью 11 статьи 5</w:t>
        </w:r>
      </w:hyperlink>
      <w:r>
        <w:rPr>
          <w:sz w:val="24"/>
        </w:rPr>
        <w:t xml:space="preserve"> Федерального закона, из единого реестра медицинских организаций в день расторжения или прекращения действия договора об оказании и оплате медицинской помощи в рамках базовой программы обязательного медицинского страхования.</w:t>
      </w:r>
    </w:p>
    <w:p>
      <w:pPr>
        <w:pStyle w:val="0"/>
        <w:spacing w:before="240" w:lineRule="auto"/>
        <w:ind w:firstLine="540"/>
        <w:jc w:val="both"/>
      </w:pPr>
      <w:r>
        <w:rPr>
          <w:sz w:val="24"/>
        </w:rPr>
        <w:t xml:space="preserve">147. Сведения записей реестра медицинских организаций, осуществляющих деятельность в сфере обязательного медицинского страхования, в течение одного рабочего дня со дня формирования (изменения) указанных записей в соответствии с настоящими Правилами включаются в соответствующие им записи единого реестра медицинских организаций.</w:t>
      </w:r>
    </w:p>
    <w:p>
      <w:pPr>
        <w:pStyle w:val="0"/>
        <w:spacing w:before="240" w:lineRule="auto"/>
        <w:ind w:firstLine="540"/>
        <w:jc w:val="both"/>
      </w:pPr>
      <w:r>
        <w:rPr>
          <w:sz w:val="24"/>
        </w:rPr>
        <w:t xml:space="preserve">148. Записи единого реестра медицинских организаций и реестра медицинских организаций, осуществляющих деятельность в сфере обязательного медицинского страхования, подлежат постоянному хранению. В случае внесения изменений в записи единого реестра медицинских организаций и реестра медицинских организаций, осуществляющих деятельность в сфере обязательного медицинского страхования, ранее составленные записи сохраняются.</w:t>
      </w:r>
    </w:p>
    <w:p>
      <w:pPr>
        <w:pStyle w:val="0"/>
        <w:spacing w:before="240" w:lineRule="auto"/>
        <w:ind w:firstLine="540"/>
        <w:jc w:val="both"/>
      </w:pPr>
      <w:r>
        <w:rPr>
          <w:sz w:val="24"/>
        </w:rPr>
        <w:t xml:space="preserve">149. Территориальный фонд размещает на своем официальном сайте сведения реестра медицинских организаций, осуществляющих деятельность в сфере обязательного медицинского страхования, предусмотренные </w:t>
      </w:r>
      <w:hyperlink w:history="0" w:anchor="P474" w:tooltip="1) уникальный номер записи реестра медицинских организаций, осуществляющих деятельность в сфере обязательного медицинского страхования, на соответствующий финансовый год по медицинской организации;">
        <w:r>
          <w:rPr>
            <w:sz w:val="24"/>
            <w:color w:val="0000ff"/>
          </w:rPr>
          <w:t xml:space="preserve">подпунктами 1</w:t>
        </w:r>
      </w:hyperlink>
      <w:r>
        <w:rPr>
          <w:sz w:val="24"/>
        </w:rPr>
        <w:t xml:space="preserve"> - </w:t>
      </w:r>
      <w:hyperlink w:history="0" w:anchor="P490" w:tooltip="11) вид медицинской организации в соответствии с номенклатурой медицинских организаций &lt;15&gt;;">
        <w:r>
          <w:rPr>
            <w:sz w:val="24"/>
            <w:color w:val="0000ff"/>
          </w:rPr>
          <w:t xml:space="preserve">11</w:t>
        </w:r>
      </w:hyperlink>
      <w:r>
        <w:rPr>
          <w:sz w:val="24"/>
        </w:rPr>
        <w:t xml:space="preserve">, </w:t>
      </w:r>
      <w:hyperlink w:history="0" w:anchor="P497" w:tooltip="13) адрес электронной почты, номер телефона медицинской организации (индивидуального предпринимателя, осуществляющего медицинскую деятельность);">
        <w:r>
          <w:rPr>
            <w:sz w:val="24"/>
            <w:color w:val="0000ff"/>
          </w:rPr>
          <w:t xml:space="preserve">13</w:t>
        </w:r>
      </w:hyperlink>
      <w:r>
        <w:rPr>
          <w:sz w:val="24"/>
        </w:rPr>
        <w:t xml:space="preserve">, </w:t>
      </w:r>
      <w:hyperlink w:history="0" w:anchor="P514" w:tooltip="18) сведения об адресах оказания медицинской помощи на территории субъекта Российской Федерации, расположенных по данным адресам обособленных структурных подразделениях медицинской организации и (или) наименованиях структурных подразделений медицинской организации, расположенных по данным адресам (при наличии), уникальные номера адресов оказания медицинской помощи в государственном адресном реестре;">
        <w:r>
          <w:rPr>
            <w:sz w:val="24"/>
            <w:color w:val="0000ff"/>
          </w:rPr>
          <w:t xml:space="preserve">18</w:t>
        </w:r>
      </w:hyperlink>
      <w:r>
        <w:rPr>
          <w:sz w:val="24"/>
        </w:rPr>
        <w:t xml:space="preserve">, </w:t>
      </w:r>
      <w:hyperlink w:history="0" w:anchor="P516" w:tooltip="20) дату включения медицинской организации в реестр медицинских организаций, осуществляющих деятельность в сфере обязательного медицинского страхования, на соответствующий финансовый год;">
        <w:r>
          <w:rPr>
            <w:sz w:val="24"/>
            <w:color w:val="0000ff"/>
          </w:rPr>
          <w:t xml:space="preserve">20</w:t>
        </w:r>
      </w:hyperlink>
      <w:r>
        <w:rPr>
          <w:sz w:val="24"/>
        </w:rPr>
        <w:t xml:space="preserve">, </w:t>
      </w:r>
      <w:hyperlink w:history="0" w:anchor="P518" w:tooltip="22) виды, условия и профили медицинской помощи, оказываемой медицинской организацией в рамках территориальной программы, в том числе в разрезе обособленных структурных подразделений медицинской организации (при наличии);">
        <w:r>
          <w:rPr>
            <w:sz w:val="24"/>
            <w:color w:val="0000ff"/>
          </w:rPr>
          <w:t xml:space="preserve">22</w:t>
        </w:r>
      </w:hyperlink>
      <w:r>
        <w:rPr>
          <w:sz w:val="24"/>
        </w:rPr>
        <w:t xml:space="preserve">, </w:t>
      </w:r>
      <w:hyperlink w:history="0" w:anchor="P524" w:tooltip="28) дату исключения медицинской организации из реестра медицинских организаций, осуществляющих деятельность в сфере обязательного страхования, в соответствующем финансовом году;">
        <w:r>
          <w:rPr>
            <w:sz w:val="24"/>
            <w:color w:val="0000ff"/>
          </w:rPr>
          <w:t xml:space="preserve">28</w:t>
        </w:r>
      </w:hyperlink>
      <w:r>
        <w:rPr>
          <w:sz w:val="24"/>
        </w:rPr>
        <w:t xml:space="preserve"> и </w:t>
      </w:r>
      <w:hyperlink w:history="0" w:anchor="P525" w:tooltip="29) причину и основание исключения медицинской организации из реестра медицинских организаций, осуществляющих деятельность в сфере обязательного страхования, в соответствующем финансовом году.">
        <w:r>
          <w:rPr>
            <w:sz w:val="24"/>
            <w:color w:val="0000ff"/>
          </w:rPr>
          <w:t xml:space="preserve">29 пункта 117</w:t>
        </w:r>
      </w:hyperlink>
      <w:r>
        <w:rPr>
          <w:sz w:val="24"/>
        </w:rPr>
        <w:t xml:space="preserve"> настоящих Правил, в течение одного рабочего дня со дня формирования (внесения изменения) в указанные сведения.</w:t>
      </w:r>
    </w:p>
    <w:p>
      <w:pPr>
        <w:pStyle w:val="0"/>
        <w:spacing w:before="240" w:lineRule="auto"/>
        <w:ind w:firstLine="540"/>
        <w:jc w:val="both"/>
      </w:pPr>
      <w:r>
        <w:rPr>
          <w:sz w:val="24"/>
        </w:rPr>
        <w:t xml:space="preserve">150. Федеральный фонд обеспечивает размещение на своем официальном сайте сведений единого реестра медицинских организаций, предусмотренных </w:t>
      </w:r>
      <w:hyperlink w:history="0" w:anchor="P411" w:tooltip="1) код медицинской организации (уникальный номер записи единого реестра медицинских организаций, в которой содержатся сведения о медицинской организации) (индивидуального предпринимателя, осуществляющего медицинскую деятельность) (далее - реестровый номер медицинской организации);">
        <w:r>
          <w:rPr>
            <w:sz w:val="24"/>
            <w:color w:val="0000ff"/>
          </w:rPr>
          <w:t xml:space="preserve">подпунктами 1</w:t>
        </w:r>
      </w:hyperlink>
      <w:r>
        <w:rPr>
          <w:sz w:val="24"/>
        </w:rPr>
        <w:t xml:space="preserve"> - </w:t>
      </w:r>
      <w:hyperlink w:history="0" w:anchor="P417" w:tooltip="7) код организационно-правовой формы медицинской организации в соответствии с Общероссийским классификатором организационно-правовых форм (ОКОПФ);">
        <w:r>
          <w:rPr>
            <w:sz w:val="24"/>
            <w:color w:val="0000ff"/>
          </w:rPr>
          <w:t xml:space="preserve">7</w:t>
        </w:r>
      </w:hyperlink>
      <w:r>
        <w:rPr>
          <w:sz w:val="24"/>
        </w:rPr>
        <w:t xml:space="preserve">, </w:t>
      </w:r>
      <w:hyperlink w:history="0" w:anchor="P425" w:tooltip="10) вид медицинской организации в соответствии с номенклатурой медицинских организаций &lt;14&gt;;">
        <w:r>
          <w:rPr>
            <w:sz w:val="24"/>
            <w:color w:val="0000ff"/>
          </w:rPr>
          <w:t xml:space="preserve">10</w:t>
        </w:r>
      </w:hyperlink>
      <w:r>
        <w:rPr>
          <w:sz w:val="24"/>
        </w:rPr>
        <w:t xml:space="preserve">, </w:t>
      </w:r>
      <w:hyperlink w:history="0" w:anchor="P429" w:tooltip="11) адрес медицинской организации в пределах места нахождения медицинской организации;">
        <w:r>
          <w:rPr>
            <w:sz w:val="24"/>
            <w:color w:val="0000ff"/>
          </w:rPr>
          <w:t xml:space="preserve">11</w:t>
        </w:r>
      </w:hyperlink>
      <w:r>
        <w:rPr>
          <w:sz w:val="24"/>
        </w:rPr>
        <w:t xml:space="preserve">, </w:t>
      </w:r>
      <w:hyperlink w:history="0" w:anchor="P434" w:tooltip="16) фамилию, имя, отчество (при наличии) руководителя и иных лиц медицинской организации, имеющих право действовать от имени медицинской организации без доверенности;">
        <w:r>
          <w:rPr>
            <w:sz w:val="24"/>
            <w:color w:val="0000ff"/>
          </w:rPr>
          <w:t xml:space="preserve">16</w:t>
        </w:r>
      </w:hyperlink>
      <w:r>
        <w:rPr>
          <w:sz w:val="24"/>
        </w:rPr>
        <w:t xml:space="preserve">, </w:t>
      </w:r>
      <w:hyperlink w:history="0" w:anchor="P455" w:tooltip="22) наименования субъектов Российской Федерации, в реализации территориальных программ которых участвуют медицинская организация и ее обособленные структурные подразделения;">
        <w:r>
          <w:rPr>
            <w:sz w:val="24"/>
            <w:color w:val="0000ff"/>
          </w:rPr>
          <w:t xml:space="preserve">22</w:t>
        </w:r>
      </w:hyperlink>
      <w:r>
        <w:rPr>
          <w:sz w:val="24"/>
        </w:rPr>
        <w:t xml:space="preserve">, </w:t>
      </w:r>
      <w:hyperlink w:history="0" w:anchor="P459" w:tooltip="26) сведения о номерах записей реестров медицинских организаций, осуществляющих деятельность в сфере обязательного медицинского страхования, соответствующих медицинской организации;">
        <w:r>
          <w:rPr>
            <w:sz w:val="24"/>
            <w:color w:val="0000ff"/>
          </w:rPr>
          <w:t xml:space="preserve">26</w:t>
        </w:r>
      </w:hyperlink>
      <w:r>
        <w:rPr>
          <w:sz w:val="24"/>
        </w:rPr>
        <w:t xml:space="preserve">, </w:t>
      </w:r>
      <w:hyperlink w:history="0" w:anchor="P464" w:tooltip="31) сведения о видах, условиях и профилях медицинской помощи, оказываемой медицинской организацией в рамках реализации территориальных программ, и медицинской помощи, финансовое обеспечение которой осуществляется в соответствии с частью 11 статьи 5 Федерального закона;">
        <w:r>
          <w:rPr>
            <w:sz w:val="24"/>
            <w:color w:val="0000ff"/>
          </w:rPr>
          <w:t xml:space="preserve">31</w:t>
        </w:r>
      </w:hyperlink>
      <w:r>
        <w:rPr>
          <w:sz w:val="24"/>
        </w:rPr>
        <w:t xml:space="preserve"> и </w:t>
      </w:r>
      <w:hyperlink w:history="0" w:anchor="P471" w:tooltip="38) дату исключения медицинской организации, оказывающей медицинскую помощь, финансовое обеспечение которой осуществляется в соответствии с частью 11 статьи 5 Федерального закона, на соответствующий год из единого реестра медицинских организаций, и причину ее исключения.">
        <w:r>
          <w:rPr>
            <w:sz w:val="24"/>
            <w:color w:val="0000ff"/>
          </w:rPr>
          <w:t xml:space="preserve">38 пункта 115</w:t>
        </w:r>
      </w:hyperlink>
      <w:r>
        <w:rPr>
          <w:sz w:val="24"/>
        </w:rPr>
        <w:t xml:space="preserve"> настоящих Правил, в течение одного рабочего дня со дня формирования указанных сведений в едином реестре медицинских организаций либо внесения в них изменений.</w:t>
      </w:r>
    </w:p>
    <w:p>
      <w:pPr>
        <w:pStyle w:val="0"/>
        <w:spacing w:before="240" w:lineRule="auto"/>
        <w:ind w:firstLine="540"/>
        <w:jc w:val="both"/>
      </w:pPr>
      <w:r>
        <w:rPr>
          <w:sz w:val="24"/>
        </w:rPr>
        <w:t xml:space="preserve">151. Федеральный фонд в соответствии с </w:t>
      </w:r>
      <w:hyperlink w:history="0" r:id="rId143" w:tooltip="Федеральный закон от 29.11.2010 N 326-ФЗ (ред. от 20.02.2026) &quot;Об обязательном медицинском страховании в Российской Федерации&quot; {КонсультантПлюс}">
        <w:r>
          <w:rPr>
            <w:sz w:val="24"/>
            <w:color w:val="0000ff"/>
          </w:rPr>
          <w:t xml:space="preserve">пунктом 6 части 2 статьи 7</w:t>
        </w:r>
      </w:hyperlink>
      <w:r>
        <w:rPr>
          <w:sz w:val="24"/>
        </w:rPr>
        <w:t xml:space="preserve"> Федерального закона в целях ведения единого реестра медицинских организаций осуществляет проверку ведения территориальным фондом реестра медицинских организаций, осуществляющих деятельность в сфере обязательного медицинского страхования, в том числе установленного настоящей главой порядка включения медицинских организаций в реестр медицинских организаций, осуществляющих деятельность в сфере обязательного медицинского страхования (исключения из указанного реестра), в рамках контроля за соблюдением законодательства об обязательном медицинском страховании и за использованием средств обязательного медицинского страхования, в том числе проводит проверки и ревизии.</w:t>
      </w:r>
    </w:p>
    <w:p>
      <w:pPr>
        <w:pStyle w:val="0"/>
        <w:jc w:val="both"/>
      </w:pPr>
      <w:r>
        <w:rPr>
          <w:sz w:val="24"/>
        </w:rPr>
      </w:r>
    </w:p>
    <w:p>
      <w:pPr>
        <w:pStyle w:val="2"/>
        <w:outlineLvl w:val="1"/>
        <w:jc w:val="center"/>
      </w:pPr>
      <w:r>
        <w:rPr>
          <w:sz w:val="24"/>
        </w:rPr>
        <w:t xml:space="preserve">VII. Направление территориальным фондом сведений</w:t>
      </w:r>
    </w:p>
    <w:p>
      <w:pPr>
        <w:pStyle w:val="2"/>
        <w:jc w:val="center"/>
      </w:pPr>
      <w:r>
        <w:rPr>
          <w:sz w:val="24"/>
        </w:rPr>
        <w:t xml:space="preserve">о принятом решении об оплате расходов на медицинскую помощь</w:t>
      </w:r>
    </w:p>
    <w:p>
      <w:pPr>
        <w:pStyle w:val="2"/>
        <w:jc w:val="center"/>
      </w:pPr>
      <w:r>
        <w:rPr>
          <w:sz w:val="24"/>
        </w:rPr>
        <w:t xml:space="preserve">застрахованному лицу непосредственно после произошедшего</w:t>
      </w:r>
    </w:p>
    <w:p>
      <w:pPr>
        <w:pStyle w:val="2"/>
        <w:jc w:val="center"/>
      </w:pPr>
      <w:r>
        <w:rPr>
          <w:sz w:val="24"/>
        </w:rPr>
        <w:t xml:space="preserve">тяжелого несчастного случая на производстве</w:t>
      </w:r>
    </w:p>
    <w:p>
      <w:pPr>
        <w:pStyle w:val="0"/>
        <w:jc w:val="both"/>
      </w:pPr>
      <w:r>
        <w:rPr>
          <w:sz w:val="24"/>
        </w:rPr>
      </w:r>
    </w:p>
    <w:bookmarkStart w:id="610" w:name="P610"/>
    <w:bookmarkEnd w:id="610"/>
    <w:p>
      <w:pPr>
        <w:pStyle w:val="0"/>
        <w:ind w:firstLine="540"/>
        <w:jc w:val="both"/>
      </w:pPr>
      <w:r>
        <w:rPr>
          <w:sz w:val="24"/>
        </w:rPr>
        <w:t xml:space="preserve">152. В соответствии с </w:t>
      </w:r>
      <w:hyperlink w:history="0" r:id="rId144" w:tooltip="Федеральный закон от 29.11.2010 N 326-ФЗ (ред. от 20.02.2026) &quot;Об обязательном медицинском страховании в Российской Федерации&quot; {КонсультантПлюс}">
        <w:r>
          <w:rPr>
            <w:sz w:val="24"/>
            <w:color w:val="0000ff"/>
          </w:rPr>
          <w:t xml:space="preserve">частью 2 статьи 32</w:t>
        </w:r>
      </w:hyperlink>
      <w:r>
        <w:rPr>
          <w:sz w:val="24"/>
        </w:rPr>
        <w:t xml:space="preserve"> Федерального закона сведения о принятом решении об оплате расходов на медицинскую помощь застрахованному лицу непосредственно после произошедшего тяжелого несчастного случая на производстве направляются не позднее десяти дней со дня принятия решения территориальными органами Фонда пенсионного и социального страхования Российской Федерации территориальным фондам.</w:t>
      </w:r>
    </w:p>
    <w:bookmarkStart w:id="611" w:name="P611"/>
    <w:bookmarkEnd w:id="611"/>
    <w:p>
      <w:pPr>
        <w:pStyle w:val="0"/>
        <w:spacing w:before="240" w:lineRule="auto"/>
        <w:ind w:firstLine="540"/>
        <w:jc w:val="both"/>
      </w:pPr>
      <w:r>
        <w:rPr>
          <w:sz w:val="24"/>
        </w:rPr>
        <w:t xml:space="preserve">153. Территориальный фонд в течение трех рабочих дней со дня получения сведений, предусмотренных </w:t>
      </w:r>
      <w:hyperlink w:history="0" w:anchor="P610" w:tooltip="152. В соответствии с частью 2 статьи 32 Федерального закона сведения о принятом решении об оплате расходов на медицинскую помощь застрахованному лицу непосредственно после произошедшего тяжелого несчастного случая на производстве направляются не позднее десяти дней со дня принятия решения территориальными органами Фонда пенсионного и социального страхования Российской Федерации территориальным фондам.">
        <w:r>
          <w:rPr>
            <w:sz w:val="24"/>
            <w:color w:val="0000ff"/>
          </w:rPr>
          <w:t xml:space="preserve">пунктом 152</w:t>
        </w:r>
      </w:hyperlink>
      <w:r>
        <w:rPr>
          <w:sz w:val="24"/>
        </w:rPr>
        <w:t xml:space="preserve"> настоящих Правил, от территориального органа Фонда пенсионного и социального страхования Российской Федерации на основании регионального сегмента единого регистра застрахованных лиц идентифицирует застрахованных лиц, указанных в сведениях, и передает в течение пяти рабочих дней с даты получения сведений соответствующим страховым медицинским организациям и (или) другим территориальным фондам следующие сведения о застрахованных лицах, в отношении которых территориальным органом Фонда пенсионного и социального страхования Российской Федерации принято решение:</w:t>
      </w:r>
    </w:p>
    <w:p>
      <w:pPr>
        <w:pStyle w:val="0"/>
        <w:spacing w:before="240" w:lineRule="auto"/>
        <w:ind w:firstLine="540"/>
        <w:jc w:val="both"/>
      </w:pPr>
      <w:r>
        <w:rPr>
          <w:sz w:val="24"/>
        </w:rPr>
        <w:t xml:space="preserve">1) фамилию, имя, отчество (при наличии) застрахованного лица;</w:t>
      </w:r>
    </w:p>
    <w:p>
      <w:pPr>
        <w:pStyle w:val="0"/>
        <w:spacing w:before="240" w:lineRule="auto"/>
        <w:ind w:firstLine="540"/>
        <w:jc w:val="both"/>
      </w:pPr>
      <w:r>
        <w:rPr>
          <w:sz w:val="24"/>
        </w:rPr>
        <w:t xml:space="preserve">2) номер полиса;</w:t>
      </w:r>
    </w:p>
    <w:p>
      <w:pPr>
        <w:pStyle w:val="0"/>
        <w:spacing w:before="240" w:lineRule="auto"/>
        <w:ind w:firstLine="540"/>
        <w:jc w:val="both"/>
      </w:pPr>
      <w:r>
        <w:rPr>
          <w:sz w:val="24"/>
        </w:rPr>
        <w:t xml:space="preserve">3) дату рождения;</w:t>
      </w:r>
    </w:p>
    <w:p>
      <w:pPr>
        <w:pStyle w:val="0"/>
        <w:spacing w:before="240" w:lineRule="auto"/>
        <w:ind w:firstLine="540"/>
        <w:jc w:val="both"/>
      </w:pPr>
      <w:r>
        <w:rPr>
          <w:sz w:val="24"/>
        </w:rPr>
        <w:t xml:space="preserve">4) наименование документа, удостоверяющего личность;</w:t>
      </w:r>
    </w:p>
    <w:p>
      <w:pPr>
        <w:pStyle w:val="0"/>
        <w:spacing w:before="240" w:lineRule="auto"/>
        <w:ind w:firstLine="540"/>
        <w:jc w:val="both"/>
      </w:pPr>
      <w:r>
        <w:rPr>
          <w:sz w:val="24"/>
        </w:rPr>
        <w:t xml:space="preserve">5) серию и номер документа, удостоверяющего личность;</w:t>
      </w:r>
    </w:p>
    <w:p>
      <w:pPr>
        <w:pStyle w:val="0"/>
        <w:spacing w:before="240" w:lineRule="auto"/>
        <w:ind w:firstLine="540"/>
        <w:jc w:val="both"/>
      </w:pPr>
      <w:r>
        <w:rPr>
          <w:sz w:val="24"/>
        </w:rPr>
        <w:t xml:space="preserve">6) наименование органа, выдавшего документ, удостоверяющий личность;</w:t>
      </w:r>
    </w:p>
    <w:p>
      <w:pPr>
        <w:pStyle w:val="0"/>
        <w:spacing w:before="240" w:lineRule="auto"/>
        <w:ind w:firstLine="540"/>
        <w:jc w:val="both"/>
      </w:pPr>
      <w:r>
        <w:rPr>
          <w:sz w:val="24"/>
        </w:rPr>
        <w:t xml:space="preserve">7) дату выдачи документа, удостоверяющего личность;</w:t>
      </w:r>
    </w:p>
    <w:p>
      <w:pPr>
        <w:pStyle w:val="0"/>
        <w:spacing w:before="240" w:lineRule="auto"/>
        <w:ind w:firstLine="540"/>
        <w:jc w:val="both"/>
      </w:pPr>
      <w:r>
        <w:rPr>
          <w:sz w:val="24"/>
        </w:rPr>
        <w:t xml:space="preserve">8) дату несчастного случая на производстве;</w:t>
      </w:r>
    </w:p>
    <w:p>
      <w:pPr>
        <w:pStyle w:val="0"/>
        <w:spacing w:before="240" w:lineRule="auto"/>
        <w:ind w:firstLine="540"/>
        <w:jc w:val="both"/>
      </w:pPr>
      <w:r>
        <w:rPr>
          <w:sz w:val="24"/>
        </w:rPr>
        <w:t xml:space="preserve">9) дату начала оказания медицинской помощи;</w:t>
      </w:r>
    </w:p>
    <w:p>
      <w:pPr>
        <w:pStyle w:val="0"/>
        <w:spacing w:before="240" w:lineRule="auto"/>
        <w:ind w:firstLine="540"/>
        <w:jc w:val="both"/>
      </w:pPr>
      <w:r>
        <w:rPr>
          <w:sz w:val="24"/>
        </w:rPr>
        <w:t xml:space="preserve">10) диагноз;</w:t>
      </w:r>
    </w:p>
    <w:p>
      <w:pPr>
        <w:pStyle w:val="0"/>
        <w:spacing w:before="240" w:lineRule="auto"/>
        <w:ind w:firstLine="540"/>
        <w:jc w:val="both"/>
      </w:pPr>
      <w:r>
        <w:rPr>
          <w:sz w:val="24"/>
        </w:rPr>
        <w:t xml:space="preserve">11) наименование медицинской организации;</w:t>
      </w:r>
    </w:p>
    <w:p>
      <w:pPr>
        <w:pStyle w:val="0"/>
        <w:spacing w:before="240" w:lineRule="auto"/>
        <w:ind w:firstLine="540"/>
        <w:jc w:val="both"/>
      </w:pPr>
      <w:r>
        <w:rPr>
          <w:sz w:val="24"/>
        </w:rPr>
        <w:t xml:space="preserve">12) ОГРН медицинской организации в соответствии с ЕГРЮЛ;</w:t>
      </w:r>
    </w:p>
    <w:p>
      <w:pPr>
        <w:pStyle w:val="0"/>
        <w:spacing w:before="240" w:lineRule="auto"/>
        <w:ind w:firstLine="540"/>
        <w:jc w:val="both"/>
      </w:pPr>
      <w:r>
        <w:rPr>
          <w:sz w:val="24"/>
        </w:rPr>
        <w:t xml:space="preserve">13) адрес медицинской организации;</w:t>
      </w:r>
    </w:p>
    <w:p>
      <w:pPr>
        <w:pStyle w:val="0"/>
        <w:spacing w:before="240" w:lineRule="auto"/>
        <w:ind w:firstLine="540"/>
        <w:jc w:val="both"/>
      </w:pPr>
      <w:r>
        <w:rPr>
          <w:sz w:val="24"/>
        </w:rPr>
        <w:t xml:space="preserve">14) номер телефона медицинской организации с кодом города.</w:t>
      </w:r>
    </w:p>
    <w:p>
      <w:pPr>
        <w:pStyle w:val="0"/>
        <w:spacing w:before="240" w:lineRule="auto"/>
        <w:ind w:firstLine="540"/>
        <w:jc w:val="both"/>
      </w:pPr>
      <w:r>
        <w:rPr>
          <w:sz w:val="24"/>
        </w:rPr>
        <w:t xml:space="preserve">154. Указанные в </w:t>
      </w:r>
      <w:hyperlink w:history="0" w:anchor="P611" w:tooltip="153. Территориальный фонд в течение трех рабочих дней со дня получения сведений, предусмотренных пунктом 152 настоящих Правил, от территориального органа Фонда пенсионного и социального страхования Российской Федерации на основании регионального сегмента единого регистра застрахованных лиц идентифицирует застрахованных лиц, указанных в сведениях, и передает в течение пяти рабочих дней с даты получения сведений соответствующим страховым медицинским организациям и (или) другим территориальным фондам следую...">
        <w:r>
          <w:rPr>
            <w:sz w:val="24"/>
            <w:color w:val="0000ff"/>
          </w:rPr>
          <w:t xml:space="preserve">пункте 153</w:t>
        </w:r>
      </w:hyperlink>
      <w:r>
        <w:rPr>
          <w:sz w:val="24"/>
        </w:rPr>
        <w:t xml:space="preserve"> настоящих Правил сведения передаются в электронном виде с использованием средств криптографической защиты информации и усиленной квалифицированной электронной подписи с соблюдением требований законодательства Российской Федерации по защите персональных данных.</w:t>
      </w:r>
    </w:p>
    <w:p>
      <w:pPr>
        <w:pStyle w:val="0"/>
        <w:spacing w:before="240" w:lineRule="auto"/>
        <w:ind w:firstLine="540"/>
        <w:jc w:val="both"/>
      </w:pPr>
      <w:r>
        <w:rPr>
          <w:sz w:val="24"/>
        </w:rPr>
        <w:t xml:space="preserve">155. При технической невозможности обеспечения усиленной квалифицированной электронной подписи подлинность сведений, представленных в электронном виде, должна подтверждаться реестром на бумажном носителе, при этом реестр должен содержать дату его составления, подпись, фамилию, имя, отчество (при наличии) исполнителя, заверен подписью директора территориального фонда и скреплен печатью территориального фонда.</w:t>
      </w:r>
    </w:p>
    <w:p>
      <w:pPr>
        <w:pStyle w:val="0"/>
        <w:jc w:val="both"/>
      </w:pPr>
      <w:r>
        <w:rPr>
          <w:sz w:val="24"/>
        </w:rPr>
      </w:r>
    </w:p>
    <w:p>
      <w:pPr>
        <w:pStyle w:val="2"/>
        <w:outlineLvl w:val="1"/>
        <w:jc w:val="center"/>
      </w:pPr>
      <w:r>
        <w:rPr>
          <w:sz w:val="24"/>
        </w:rPr>
        <w:t xml:space="preserve">VIII. Оплата медицинской помощи по обязательному</w:t>
      </w:r>
    </w:p>
    <w:p>
      <w:pPr>
        <w:pStyle w:val="2"/>
        <w:jc w:val="center"/>
      </w:pPr>
      <w:r>
        <w:rPr>
          <w:sz w:val="24"/>
        </w:rPr>
        <w:t xml:space="preserve">медицинскому страхованию</w:t>
      </w:r>
    </w:p>
    <w:p>
      <w:pPr>
        <w:pStyle w:val="0"/>
        <w:jc w:val="both"/>
      </w:pPr>
      <w:r>
        <w:rPr>
          <w:sz w:val="24"/>
        </w:rPr>
      </w:r>
    </w:p>
    <w:p>
      <w:pPr>
        <w:pStyle w:val="0"/>
        <w:ind w:firstLine="540"/>
        <w:jc w:val="both"/>
      </w:pPr>
      <w:r>
        <w:rPr>
          <w:sz w:val="24"/>
        </w:rPr>
        <w:t xml:space="preserve">156. В соответствии с </w:t>
      </w:r>
      <w:hyperlink w:history="0" r:id="rId145" w:tooltip="Федеральный закон от 29.11.2010 N 326-ФЗ (ред. от 20.02.2026) &quot;Об обязательном медицинском страховании в Российской Федерации&quot; {КонсультантПлюс}">
        <w:r>
          <w:rPr>
            <w:sz w:val="24"/>
            <w:color w:val="0000ff"/>
          </w:rPr>
          <w:t xml:space="preserve">частью 6 статьи 39</w:t>
        </w:r>
      </w:hyperlink>
      <w:r>
        <w:rPr>
          <w:sz w:val="24"/>
        </w:rPr>
        <w:t xml:space="preserve"> Федерального закона оплата медицинской помощи, оказанной застрахованному лицу по договору на оказание и оплату медицинской помощи, осуществляется по тарифам на оплату медицинской помощи, установленным в соответствии с </w:t>
      </w:r>
      <w:hyperlink w:history="0" r:id="rId146" w:tooltip="Федеральный закон от 29.11.2010 N 326-ФЗ (ред. от 20.02.2026) &quot;Об обязательном медицинском страховании в Российской Федерации&quot; {КонсультантПлюс}">
        <w:r>
          <w:rPr>
            <w:sz w:val="24"/>
            <w:color w:val="0000ff"/>
          </w:rPr>
          <w:t xml:space="preserve">частью 2 статьи 30</w:t>
        </w:r>
      </w:hyperlink>
      <w:r>
        <w:rPr>
          <w:sz w:val="24"/>
        </w:rPr>
        <w:t xml:space="preserve"> Федерального закона, по результатам контроля объемов, сроков, качества и условий предоставления медицинской помощи по обязательному медицинскому страхованию застрахованным лицам, а также ее финансового обеспечения (далее - контроль объемов, сроков, качества и условий предоставления медицинской помощи) и в соответствии с порядком, установленным настоящими Правилами, на основании представленных медицинской организацией реестров счетов и счетов на оплату медицинской помощи.</w:t>
      </w:r>
    </w:p>
    <w:p>
      <w:pPr>
        <w:pStyle w:val="0"/>
        <w:spacing w:before="240" w:lineRule="auto"/>
        <w:ind w:firstLine="540"/>
        <w:jc w:val="both"/>
      </w:pPr>
      <w:r>
        <w:rPr>
          <w:sz w:val="24"/>
        </w:rPr>
        <w:t xml:space="preserve">157. В соответствии с </w:t>
      </w:r>
      <w:hyperlink w:history="0" r:id="rId147" w:tooltip="Федеральный закон от 29.11.2010 N 326-ФЗ (ред. от 20.02.2026) &quot;Об обязательном медицинском страховании в Российской Федерации&quot; {КонсультантПлюс}">
        <w:r>
          <w:rPr>
            <w:sz w:val="24"/>
            <w:color w:val="0000ff"/>
          </w:rPr>
          <w:t xml:space="preserve">частью 5 статьи 39.1</w:t>
        </w:r>
      </w:hyperlink>
      <w:r>
        <w:rPr>
          <w:sz w:val="24"/>
        </w:rPr>
        <w:t xml:space="preserve"> Федерального закона оплата медицинской помощи застрахованному лицу осуществляется по тарифам на оплату медицинской помощи, установленным в соответствии с </w:t>
      </w:r>
      <w:hyperlink w:history="0" r:id="rId148" w:tooltip="Федеральный закон от 29.11.2010 N 326-ФЗ (ред. от 20.02.2026) &quot;Об обязательном медицинском страховании в Российской Федерации&quot; {КонсультантПлюс}">
        <w:r>
          <w:rPr>
            <w:sz w:val="24"/>
            <w:color w:val="0000ff"/>
          </w:rPr>
          <w:t xml:space="preserve">частью 3.1 статьи 30</w:t>
        </w:r>
      </w:hyperlink>
      <w:r>
        <w:rPr>
          <w:sz w:val="24"/>
        </w:rPr>
        <w:t xml:space="preserve"> Федерального закона, на основании представленных медицинской организацией, оказывающей медицинскую помощь, финансовое обеспечение которой осуществляется в соответствии с </w:t>
      </w:r>
      <w:hyperlink w:history="0" r:id="rId149" w:tooltip="Федеральный закон от 29.11.2010 N 326-ФЗ (ред. от 20.02.2026) &quot;Об обязательном медицинском страховании в Российской Федерации&quot; {КонсультантПлюс}">
        <w:r>
          <w:rPr>
            <w:sz w:val="24"/>
            <w:color w:val="0000ff"/>
          </w:rPr>
          <w:t xml:space="preserve">пунктом 11 статьи 5</w:t>
        </w:r>
      </w:hyperlink>
      <w:r>
        <w:rPr>
          <w:sz w:val="24"/>
        </w:rPr>
        <w:t xml:space="preserve"> Федерального закона, реестров счетов и счетов на оплату медицинской помощи в пределах объемов предоставления медицинской помощи, установленных решением уполномоченного федерального органа исполнительной власти, и в соответствии с договором на оказание и оплату медицинской помощи в рамках базовой программы обязательного медицинского страхования.</w:t>
      </w:r>
    </w:p>
    <w:p>
      <w:pPr>
        <w:pStyle w:val="0"/>
        <w:spacing w:before="240" w:lineRule="auto"/>
        <w:ind w:firstLine="540"/>
        <w:jc w:val="both"/>
      </w:pPr>
      <w:r>
        <w:rPr>
          <w:sz w:val="24"/>
        </w:rPr>
        <w:t xml:space="preserve">158. Взаимодействие территориального фонда со страховыми медицинскими организациями и медицинскими организациями и страховых медицинских организаций с медицинскими организациями осуществляется в соответствии с договорами в сфере обязательного медицинского страхования.</w:t>
      </w:r>
    </w:p>
    <w:p>
      <w:pPr>
        <w:pStyle w:val="0"/>
        <w:spacing w:before="240" w:lineRule="auto"/>
        <w:ind w:firstLine="540"/>
        <w:jc w:val="both"/>
      </w:pPr>
      <w:r>
        <w:rPr>
          <w:sz w:val="24"/>
        </w:rPr>
        <w:t xml:space="preserve">159. Страховая медицинская организация в соответствии с договором о финансовом обеспечении ежемесячно представляет в территориальный фонд:</w:t>
      </w:r>
    </w:p>
    <w:p>
      <w:pPr>
        <w:pStyle w:val="0"/>
        <w:spacing w:before="240" w:lineRule="auto"/>
        <w:ind w:firstLine="540"/>
        <w:jc w:val="both"/>
      </w:pPr>
      <w:r>
        <w:rPr>
          <w:sz w:val="24"/>
        </w:rPr>
        <w:t xml:space="preserve">1) не позднее пятого рабочего дня отчетного (текущего) месяца - </w:t>
      </w:r>
      <w:hyperlink w:history="0" r:id="rId150" w:tooltip="&lt;Письмо&gt; ФФОМС от 30.12.2011 N 9161/30-1/и (ред. от 19.01.2017) &lt;О направлении Методических указаний по представлению информации в сфере обязательного медицинского страхования&gt; {КонсультантПлюс}">
        <w:r>
          <w:rPr>
            <w:sz w:val="24"/>
            <w:color w:val="0000ff"/>
          </w:rPr>
          <w:t xml:space="preserve">заявку</w:t>
        </w:r>
      </w:hyperlink>
      <w:r>
        <w:rPr>
          <w:sz w:val="24"/>
        </w:rPr>
        <w:t xml:space="preserve"> на получение целевых средств на авансирование оплаты медицинской помощи (далее - заявка на авансирование);</w:t>
      </w:r>
    </w:p>
    <w:p>
      <w:pPr>
        <w:pStyle w:val="0"/>
        <w:spacing w:before="240" w:lineRule="auto"/>
        <w:ind w:firstLine="540"/>
        <w:jc w:val="both"/>
      </w:pPr>
      <w:r>
        <w:rPr>
          <w:sz w:val="24"/>
        </w:rPr>
        <w:t xml:space="preserve">2) не позднее пятнадцатого рабочего дня месяца, следующего за отчетным, - </w:t>
      </w:r>
      <w:hyperlink w:history="0" r:id="rId151" w:tooltip="&lt;Письмо&gt; ФФОМС от 30.12.2011 N 9161/30-1/и (ред. от 19.01.2017) &lt;О направлении Методических указаний по представлению информации в сфере обязательного медицинского страхования&gt; {КонсультантПлюс}">
        <w:r>
          <w:rPr>
            <w:sz w:val="24"/>
            <w:color w:val="0000ff"/>
          </w:rPr>
          <w:t xml:space="preserve">заявку</w:t>
        </w:r>
      </w:hyperlink>
      <w:r>
        <w:rPr>
          <w:sz w:val="24"/>
        </w:rPr>
        <w:t xml:space="preserve"> на получение целевых средств на оплату счетов за оказанную медицинскую помощь (далее - заявка на получение средств на оплату счетов) для проведения окончательного расчета с медицинскими организациями.</w:t>
      </w:r>
    </w:p>
    <w:p>
      <w:pPr>
        <w:pStyle w:val="0"/>
        <w:spacing w:before="240" w:lineRule="auto"/>
        <w:ind w:firstLine="540"/>
        <w:jc w:val="both"/>
      </w:pPr>
      <w:r>
        <w:rPr>
          <w:sz w:val="24"/>
        </w:rPr>
        <w:t xml:space="preserve">160. В заявку на авансирование включается объем средств, необходимый для направления в медицинские организации в соответствии с заявками медицинских организаций на авансирование оплаты медицинской помощи.</w:t>
      </w:r>
    </w:p>
    <w:p>
      <w:pPr>
        <w:pStyle w:val="0"/>
        <w:spacing w:before="240" w:lineRule="auto"/>
        <w:ind w:firstLine="540"/>
        <w:jc w:val="both"/>
      </w:pPr>
      <w:r>
        <w:rPr>
          <w:sz w:val="24"/>
        </w:rPr>
        <w:t xml:space="preserve">161. Заявка на авансирование представляется в территориальный фонд вместе с перечнем заявок медицинских организаций, направленных в страховую медицинскую организацию, с указанием по каждой медицинской организации размера финансового обеспечения медицинской помощи, распределенной медицинской организации решением Комиссии, среднемесячного объема средств, направляемых на оплату медицинской помощи страховой медицинской организацией в медицинскую организацию за последние три месяца текущего финансового года либо с периода начала действия договора на оказание и оплату медицинской помощи по обязательному медицинскому страхованию (в случае периода действия договора менее трех месяцев), суммы авансирования медицинской организации не обеспеченного счетами на оплату медицинской помощи за предшествующий период (за исключением месяца, предшествующего месяцу подачи заявки) и суммы авансирования.</w:t>
      </w:r>
    </w:p>
    <w:p>
      <w:pPr>
        <w:pStyle w:val="0"/>
        <w:spacing w:before="240" w:lineRule="auto"/>
        <w:ind w:firstLine="540"/>
        <w:jc w:val="both"/>
      </w:pPr>
      <w:r>
        <w:rPr>
          <w:sz w:val="24"/>
        </w:rPr>
        <w:t xml:space="preserve">162. Сумма авансирования, указанная в заявке на авансирование, не может превышать 50 процентов в период с января по ноябрь, а в декабре - 95 процентов размера финансового обеспечения страховой медицинской организации, рассчитанного в соответствии с </w:t>
      </w:r>
      <w:hyperlink w:history="0" w:anchor="P711" w:tooltip="186. Размер финансового обеспечения страховой медицинской организации (ФФ) рассчитывается по формуле:">
        <w:r>
          <w:rPr>
            <w:sz w:val="24"/>
            <w:color w:val="0000ff"/>
          </w:rPr>
          <w:t xml:space="preserve">пунктом 186</w:t>
        </w:r>
      </w:hyperlink>
      <w:r>
        <w:rPr>
          <w:sz w:val="24"/>
        </w:rPr>
        <w:t xml:space="preserve"> настоящих Правил, на месяц, предшествующий месяцу направления заявки на авансирование.</w:t>
      </w:r>
    </w:p>
    <w:p>
      <w:pPr>
        <w:pStyle w:val="0"/>
        <w:spacing w:before="240" w:lineRule="auto"/>
        <w:ind w:firstLine="540"/>
        <w:jc w:val="both"/>
      </w:pPr>
      <w:r>
        <w:rPr>
          <w:sz w:val="24"/>
        </w:rPr>
        <w:t xml:space="preserve">163. В заявку на получение средств на оплату счетов включается объем средств для оплаты медицинской помощи за отчетный месяц, определенный территориальным фондом с учетом дифференцированных подушевых нормативов финансового обеспечения обязательного медицинского страхования (далее - дифференцированные подушевые нормативы), за исключением средств, направленных в страховую медицинскую организацию в отчетном месяце в порядке авансирования. В случае недостатка объема целевых средств для оплаты медицинской помощи в отчетном месяце, в том числе по случаям оказания медицинской помощи, принятым к оплате в предыдущие отчетные периоды, остаток целевых средств, сформированный страховой медицинской организацией за отчетный месяц, используется для оплаты медицинской помощи предыдущих отчетных периодов.</w:t>
      </w:r>
    </w:p>
    <w:p>
      <w:pPr>
        <w:pStyle w:val="0"/>
        <w:spacing w:before="240" w:lineRule="auto"/>
        <w:ind w:firstLine="540"/>
        <w:jc w:val="both"/>
      </w:pPr>
      <w:r>
        <w:rPr>
          <w:sz w:val="24"/>
        </w:rPr>
        <w:t xml:space="preserve">164. Заявка на получение средств на оплату счетов включает в себя следующие сведения:</w:t>
      </w:r>
    </w:p>
    <w:p>
      <w:pPr>
        <w:pStyle w:val="0"/>
        <w:spacing w:before="240" w:lineRule="auto"/>
        <w:ind w:firstLine="540"/>
        <w:jc w:val="both"/>
      </w:pPr>
      <w:r>
        <w:rPr>
          <w:sz w:val="24"/>
        </w:rPr>
        <w:t xml:space="preserve">1) наименование страховой медицинской организации;</w:t>
      </w:r>
    </w:p>
    <w:p>
      <w:pPr>
        <w:pStyle w:val="0"/>
        <w:spacing w:before="240" w:lineRule="auto"/>
        <w:ind w:firstLine="540"/>
        <w:jc w:val="both"/>
      </w:pPr>
      <w:r>
        <w:rPr>
          <w:sz w:val="24"/>
        </w:rPr>
        <w:t xml:space="preserve">2) наименование территориального фонда;</w:t>
      </w:r>
    </w:p>
    <w:p>
      <w:pPr>
        <w:pStyle w:val="0"/>
        <w:spacing w:before="240" w:lineRule="auto"/>
        <w:ind w:firstLine="540"/>
        <w:jc w:val="both"/>
      </w:pPr>
      <w:r>
        <w:rPr>
          <w:sz w:val="24"/>
        </w:rPr>
        <w:t xml:space="preserve">3) период, за который составляется заявка на получение средств на оплату счетов;</w:t>
      </w:r>
    </w:p>
    <w:p>
      <w:pPr>
        <w:pStyle w:val="0"/>
        <w:spacing w:before="240" w:lineRule="auto"/>
        <w:ind w:firstLine="540"/>
        <w:jc w:val="both"/>
      </w:pPr>
      <w:r>
        <w:rPr>
          <w:sz w:val="24"/>
        </w:rPr>
        <w:t xml:space="preserve">4) реквизиты договора о финансовом обеспечении обязательного медицинского страхования;</w:t>
      </w:r>
    </w:p>
    <w:bookmarkStart w:id="647" w:name="P647"/>
    <w:bookmarkEnd w:id="647"/>
    <w:p>
      <w:pPr>
        <w:pStyle w:val="0"/>
        <w:spacing w:before="240" w:lineRule="auto"/>
        <w:ind w:firstLine="540"/>
        <w:jc w:val="both"/>
      </w:pPr>
      <w:r>
        <w:rPr>
          <w:sz w:val="24"/>
        </w:rPr>
        <w:t xml:space="preserve">5) численность застрахованных лиц в данной страховой медицинской организации, определенная как среднее значение между количеством застрахованных лиц на первое число отчетного месяца и первое число текущего месяца (далее - среднемесячная численность);</w:t>
      </w:r>
    </w:p>
    <w:bookmarkStart w:id="648" w:name="P648"/>
    <w:bookmarkEnd w:id="648"/>
    <w:p>
      <w:pPr>
        <w:pStyle w:val="0"/>
        <w:spacing w:before="240" w:lineRule="auto"/>
        <w:ind w:firstLine="540"/>
        <w:jc w:val="both"/>
      </w:pPr>
      <w:r>
        <w:rPr>
          <w:sz w:val="24"/>
        </w:rPr>
        <w:t xml:space="preserve">6) размер финансового обеспечения страховой медицинской организации, утвержденный территориальным фондом по дифференцированным подушевым нормативам;</w:t>
      </w:r>
    </w:p>
    <w:bookmarkStart w:id="649" w:name="P649"/>
    <w:bookmarkEnd w:id="649"/>
    <w:p>
      <w:pPr>
        <w:pStyle w:val="0"/>
        <w:spacing w:before="240" w:lineRule="auto"/>
        <w:ind w:firstLine="540"/>
        <w:jc w:val="both"/>
      </w:pPr>
      <w:r>
        <w:rPr>
          <w:sz w:val="24"/>
        </w:rPr>
        <w:t xml:space="preserve">7) сумму средств, полученных страховой медицинской организацией по заявке на авансирование за отчетный месяц;</w:t>
      </w:r>
    </w:p>
    <w:bookmarkStart w:id="650" w:name="P650"/>
    <w:bookmarkEnd w:id="650"/>
    <w:p>
      <w:pPr>
        <w:pStyle w:val="0"/>
        <w:spacing w:before="240" w:lineRule="auto"/>
        <w:ind w:firstLine="540"/>
        <w:jc w:val="both"/>
      </w:pPr>
      <w:r>
        <w:rPr>
          <w:sz w:val="24"/>
        </w:rPr>
        <w:t xml:space="preserve">8) объем целевых средств, необходимый для оплаты медицинской помощи за отчетный месяц по счетам на оплату медицинской помощи, полученных от территориального фонда, в том числе с учетом санкций, удержанных по результатам проведенного медико-экономического контроля, и с учетом средств авансирования, предоставленного медицинским организациям;</w:t>
      </w:r>
    </w:p>
    <w:p>
      <w:pPr>
        <w:pStyle w:val="0"/>
        <w:spacing w:before="240" w:lineRule="auto"/>
        <w:ind w:firstLine="540"/>
        <w:jc w:val="both"/>
      </w:pPr>
      <w:r>
        <w:rPr>
          <w:sz w:val="24"/>
        </w:rPr>
        <w:t xml:space="preserve">9) объем средств по счетам на оплату медицинской помощи, по которым оплату расходов на медицинскую помощь застрахованному лицу непосредственно после произошедшего тяжелого несчастного случая на производстве осуществляет территориальный орган Фонда пенсионного и социального страхования Российской Федерации &lt;20&gt;;</w:t>
      </w:r>
    </w:p>
    <w:p>
      <w:pPr>
        <w:pStyle w:val="0"/>
        <w:spacing w:before="240" w:lineRule="auto"/>
        <w:ind w:firstLine="540"/>
        <w:jc w:val="both"/>
      </w:pPr>
      <w:r>
        <w:rPr>
          <w:sz w:val="24"/>
        </w:rPr>
        <w:t xml:space="preserve">--------------------------------</w:t>
      </w:r>
    </w:p>
    <w:bookmarkStart w:id="653" w:name="P653"/>
    <w:bookmarkEnd w:id="653"/>
    <w:p>
      <w:pPr>
        <w:pStyle w:val="0"/>
        <w:spacing w:before="240" w:lineRule="auto"/>
        <w:ind w:firstLine="540"/>
        <w:jc w:val="both"/>
      </w:pPr>
      <w:r>
        <w:rPr>
          <w:sz w:val="24"/>
        </w:rPr>
        <w:t xml:space="preserve">&lt;20&gt; </w:t>
      </w:r>
      <w:hyperlink w:history="0" r:id="rId152" w:tooltip="Федеральный закон от 29.11.2010 N 326-ФЗ (ред. от 20.02.2026) &quot;Об обязательном медицинском страховании в Российской Федерации&quot; {КонсультантПлюс}">
        <w:r>
          <w:rPr>
            <w:sz w:val="24"/>
            <w:color w:val="0000ff"/>
          </w:rPr>
          <w:t xml:space="preserve">Статья 32</w:t>
        </w:r>
      </w:hyperlink>
      <w:r>
        <w:rPr>
          <w:sz w:val="24"/>
        </w:rPr>
        <w:t xml:space="preserve"> Федерального закона.</w:t>
      </w:r>
    </w:p>
    <w:p>
      <w:pPr>
        <w:pStyle w:val="0"/>
        <w:jc w:val="both"/>
      </w:pPr>
      <w:r>
        <w:rPr>
          <w:sz w:val="24"/>
        </w:rPr>
      </w:r>
    </w:p>
    <w:p>
      <w:pPr>
        <w:pStyle w:val="0"/>
        <w:ind w:firstLine="540"/>
        <w:jc w:val="both"/>
      </w:pPr>
      <w:r>
        <w:rPr>
          <w:sz w:val="24"/>
        </w:rPr>
        <w:t xml:space="preserve">10) объем средств, излишне направленных в медицинские организации на оплату расходов на медицинскую помощь застрахованному лицу непосредственно после произошедшего тяжелого несчастного случая на производстве, по которым оплату расходов на медицинскую помощь осуществляет территориальный орган Фонда пенсионного и социального страхования Российской Федерации, в предшествующих периодах </w:t>
      </w:r>
      <w:hyperlink w:history="0" w:anchor="P653" w:tooltip="&lt;20&gt; Статья 32 Федерального закона.">
        <w:r>
          <w:rPr>
            <w:sz w:val="24"/>
            <w:color w:val="0000ff"/>
          </w:rPr>
          <w:t xml:space="preserve">&lt;20&gt;</w:t>
        </w:r>
      </w:hyperlink>
      <w:r>
        <w:rPr>
          <w:sz w:val="24"/>
        </w:rPr>
        <w:t xml:space="preserve">;</w:t>
      </w:r>
    </w:p>
    <w:p>
      <w:pPr>
        <w:pStyle w:val="0"/>
        <w:spacing w:before="240" w:lineRule="auto"/>
        <w:ind w:firstLine="540"/>
        <w:jc w:val="both"/>
      </w:pPr>
      <w:r>
        <w:rPr>
          <w:sz w:val="24"/>
        </w:rPr>
        <w:t xml:space="preserve">11) объем средств, поступивших в отчетном месяце от юридических и физических лиц, причинивших вред здоровью застрахованных лиц, в пределах суммы, затраченной на оплату медицинской помощи;</w:t>
      </w:r>
    </w:p>
    <w:p>
      <w:pPr>
        <w:pStyle w:val="0"/>
        <w:spacing w:before="240" w:lineRule="auto"/>
        <w:ind w:firstLine="540"/>
        <w:jc w:val="both"/>
      </w:pPr>
      <w:r>
        <w:rPr>
          <w:sz w:val="24"/>
        </w:rPr>
        <w:t xml:space="preserve">12) объем средств, необходимый для перечисления в медицинские организации, объем средств, по которым подлежит списанию задолженность медицинских организаций, по решениям, принятым в соответствии с законодательством Российской Федерации;</w:t>
      </w:r>
    </w:p>
    <w:bookmarkStart w:id="658" w:name="P658"/>
    <w:bookmarkEnd w:id="658"/>
    <w:p>
      <w:pPr>
        <w:pStyle w:val="0"/>
        <w:spacing w:before="240" w:lineRule="auto"/>
        <w:ind w:firstLine="540"/>
        <w:jc w:val="both"/>
      </w:pPr>
      <w:r>
        <w:rPr>
          <w:sz w:val="24"/>
        </w:rPr>
        <w:t xml:space="preserve">13) сумма по примененным к медицинским организациям мерам по результатам медико-экономической экспертизы и экспертизы качества медицинской помощи, в том числе с учетом сумм, не учтенных при оплате медицинской помощи медицинским организациям, нарастающим итогом с начала финансового года;</w:t>
      </w:r>
    </w:p>
    <w:p>
      <w:pPr>
        <w:pStyle w:val="0"/>
        <w:spacing w:before="240" w:lineRule="auto"/>
        <w:ind w:firstLine="540"/>
        <w:jc w:val="both"/>
      </w:pPr>
      <w:r>
        <w:rPr>
          <w:sz w:val="24"/>
        </w:rPr>
        <w:t xml:space="preserve">14) сумма по примененным к медицинским организациям мерам по результатам медико-экономической экспертизы и экспертизы качества медицинской помощи, превышающая сумму по представленным медицинскими организациями счетам на оплату медицинской помощи с учетом средств авансирования, предоставленного медицинским организациям в предыдущие месяцы, нарастающим итогом с начала финансового года;</w:t>
      </w:r>
    </w:p>
    <w:p>
      <w:pPr>
        <w:pStyle w:val="0"/>
        <w:spacing w:before="240" w:lineRule="auto"/>
        <w:ind w:firstLine="540"/>
        <w:jc w:val="both"/>
      </w:pPr>
      <w:r>
        <w:rPr>
          <w:sz w:val="24"/>
        </w:rPr>
        <w:t xml:space="preserve">15) сумма по примененным к медицинским организациям мерам по результатам медико-экономической экспертизы и экспертизы качества медицинской помощи, превышающая сумму по представленным медицинскими организациями счетам на оплату медицинской помощи с учетом суммы авансирования, предоставленного медицинским организациям, за отчетный месяц;</w:t>
      </w:r>
    </w:p>
    <w:p>
      <w:pPr>
        <w:pStyle w:val="0"/>
        <w:spacing w:before="240" w:lineRule="auto"/>
        <w:ind w:firstLine="540"/>
        <w:jc w:val="both"/>
      </w:pPr>
      <w:r>
        <w:rPr>
          <w:sz w:val="24"/>
        </w:rPr>
        <w:t xml:space="preserve">16) сумма по примененным к медицинским организациям мерам по результатам медико-экономической экспертизы и экспертизы качества медицинской помощи, превышающая сумму по представленным медицинскими организациями счетам на оплату медицинской помощи с учетом суммы авансирования, предоставленного медицинским организациям, нарастающим итогом с начала финансового года;</w:t>
      </w:r>
    </w:p>
    <w:p>
      <w:pPr>
        <w:pStyle w:val="0"/>
        <w:spacing w:before="240" w:lineRule="auto"/>
        <w:ind w:firstLine="540"/>
        <w:jc w:val="both"/>
      </w:pPr>
      <w:r>
        <w:rPr>
          <w:sz w:val="24"/>
        </w:rPr>
        <w:t xml:space="preserve">17) сумма выставленных медицинским организациям требований по возврату средств обязательного медицинского страхования, по которым не получен возврат средств, за отчетный период года (не учтенных в </w:t>
      </w:r>
      <w:hyperlink w:history="0" w:anchor="P650" w:tooltip="8) объем целевых средств, необходимый для оплаты медицинской помощи за отчетный месяц по счетам на оплату медицинской помощи, полученных от территориального фонда, в том числе с учетом санкций, удержанных по результатам проведенного медико-экономического контроля, и с учетом средств авансирования, предоставленного медицинским организациям;">
        <w:r>
          <w:rPr>
            <w:sz w:val="24"/>
            <w:color w:val="0000ff"/>
          </w:rPr>
          <w:t xml:space="preserve">подпункте 8</w:t>
        </w:r>
      </w:hyperlink>
      <w:r>
        <w:rPr>
          <w:sz w:val="24"/>
        </w:rPr>
        <w:t xml:space="preserve"> настоящего пункта);</w:t>
      </w:r>
    </w:p>
    <w:p>
      <w:pPr>
        <w:pStyle w:val="0"/>
        <w:spacing w:before="240" w:lineRule="auto"/>
        <w:ind w:firstLine="540"/>
        <w:jc w:val="both"/>
      </w:pPr>
      <w:r>
        <w:rPr>
          <w:sz w:val="24"/>
        </w:rPr>
        <w:t xml:space="preserve">18) сумма выставленных к медицинским организациям требований по возврату средств обязательного медицинского страхования, по которым не получен возврат средств, нарастающим итогом с начала финансового года (не учтенных в </w:t>
      </w:r>
      <w:hyperlink w:history="0" w:anchor="P650" w:tooltip="8) объем целевых средств, необходимый для оплаты медицинской помощи за отчетный месяц по счетам на оплату медицинской помощи, полученных от территориального фонда, в том числе с учетом санкций, удержанных по результатам проведенного медико-экономического контроля, и с учетом средств авансирования, предоставленного медицинским организациям;">
        <w:r>
          <w:rPr>
            <w:sz w:val="24"/>
            <w:color w:val="0000ff"/>
          </w:rPr>
          <w:t xml:space="preserve">подпунктах 8</w:t>
        </w:r>
      </w:hyperlink>
      <w:r>
        <w:rPr>
          <w:sz w:val="24"/>
        </w:rPr>
        <w:t xml:space="preserve"> и </w:t>
      </w:r>
      <w:hyperlink w:history="0" w:anchor="P658" w:tooltip="13) сумма по примененным к медицинским организациям мерам по результатам медико-экономической экспертизы и экспертизы качества медицинской помощи, в том числе с учетом сумм, не учтенных при оплате медицинской помощи медицинским организациям, нарастающим итогом с начала финансового года;">
        <w:r>
          <w:rPr>
            <w:sz w:val="24"/>
            <w:color w:val="0000ff"/>
          </w:rPr>
          <w:t xml:space="preserve">13</w:t>
        </w:r>
      </w:hyperlink>
      <w:r>
        <w:rPr>
          <w:sz w:val="24"/>
        </w:rPr>
        <w:t xml:space="preserve"> настоящего пункта);</w:t>
      </w:r>
    </w:p>
    <w:p>
      <w:pPr>
        <w:pStyle w:val="0"/>
        <w:spacing w:before="240" w:lineRule="auto"/>
        <w:ind w:firstLine="540"/>
        <w:jc w:val="both"/>
      </w:pPr>
      <w:r>
        <w:rPr>
          <w:sz w:val="24"/>
        </w:rPr>
        <w:t xml:space="preserve">19) сумма полученных от медицинских организаций возвратов средств обязательного медицинского страхования за отчетный период;</w:t>
      </w:r>
    </w:p>
    <w:p>
      <w:pPr>
        <w:pStyle w:val="0"/>
        <w:spacing w:before="240" w:lineRule="auto"/>
        <w:ind w:firstLine="540"/>
        <w:jc w:val="both"/>
      </w:pPr>
      <w:r>
        <w:rPr>
          <w:sz w:val="24"/>
        </w:rPr>
        <w:t xml:space="preserve">20) сумма средств авансирования, направленная в медицинские организации, на которую данными организациями не представлены счета на оплату медицинской помощи по отчетному месяцу;</w:t>
      </w:r>
    </w:p>
    <w:p>
      <w:pPr>
        <w:pStyle w:val="0"/>
        <w:spacing w:before="240" w:lineRule="auto"/>
        <w:ind w:firstLine="540"/>
        <w:jc w:val="both"/>
      </w:pPr>
      <w:r>
        <w:rPr>
          <w:sz w:val="24"/>
        </w:rPr>
        <w:t xml:space="preserve">21) сумма средств авансирования, направленная в медицинские организации, на которую данными организациями не представлены счета на оплату медицинской помощи по отчетному месяцу, нарастающим итогом с начала финансового года;</w:t>
      </w:r>
    </w:p>
    <w:bookmarkStart w:id="667" w:name="P667"/>
    <w:bookmarkEnd w:id="667"/>
    <w:p>
      <w:pPr>
        <w:pStyle w:val="0"/>
        <w:spacing w:before="240" w:lineRule="auto"/>
        <w:ind w:firstLine="540"/>
        <w:jc w:val="both"/>
      </w:pPr>
      <w:r>
        <w:rPr>
          <w:sz w:val="24"/>
        </w:rPr>
        <w:t xml:space="preserve">22) размер целевых средств для оплаты медицинской помощи в пределах остатка целевых средств, возвращенных в территориальный фонд в предыдущие периоды, а также подлежащих возврату в территориальный фонд в соответствии с </w:t>
      </w:r>
      <w:hyperlink w:history="0" w:anchor="P677" w:tooltip="170. В случае превышения в отчетном месяце суммы аванса, направленного страховой медицинской организацией в медицинскую организацию, над размером счетов на оплату медицинской помощи с учетом результатов контроля объемов, сроков, качества и условий предоставления медицинской помощи, указанные средства подлежат возврату в территориальный фонд в последующие месяцы текущего года при возврате медицинской организацией средств в страховую медицинскую организацию, или на сумму указанного превышения страховой мед...">
        <w:r>
          <w:rPr>
            <w:sz w:val="24"/>
            <w:color w:val="0000ff"/>
          </w:rPr>
          <w:t xml:space="preserve">пунктом 170</w:t>
        </w:r>
      </w:hyperlink>
      <w:r>
        <w:rPr>
          <w:sz w:val="24"/>
        </w:rPr>
        <w:t xml:space="preserve"> настоящих Правил (заполняется в случае недостатка целевых средств, поступивших по дифференцированным подушевым нормативам);</w:t>
      </w:r>
    </w:p>
    <w:p>
      <w:pPr>
        <w:pStyle w:val="0"/>
        <w:spacing w:before="240" w:lineRule="auto"/>
        <w:ind w:firstLine="540"/>
        <w:jc w:val="both"/>
      </w:pPr>
      <w:r>
        <w:rPr>
          <w:sz w:val="24"/>
        </w:rPr>
        <w:t xml:space="preserve">23) итоговая сумма целевых средств по заявке, рассчитанная как сумма значений показателей, предусмотренных </w:t>
      </w:r>
      <w:hyperlink w:history="0" w:anchor="P648" w:tooltip="6) размер финансового обеспечения страховой медицинской организации, утвержденный территориальным фондом по дифференцированным подушевым нормативам;">
        <w:r>
          <w:rPr>
            <w:sz w:val="24"/>
            <w:color w:val="0000ff"/>
          </w:rPr>
          <w:t xml:space="preserve">подпунктами 6</w:t>
        </w:r>
      </w:hyperlink>
      <w:r>
        <w:rPr>
          <w:sz w:val="24"/>
        </w:rPr>
        <w:t xml:space="preserve"> и </w:t>
      </w:r>
      <w:hyperlink w:history="0" w:anchor="P667" w:tooltip="22) размер целевых средств для оплаты медицинской помощи в пределах остатка целевых средств, возвращенных в территориальный фонд в предыдущие периоды, а также подлежащих возврату в территориальный фонд в соответствии с пунктом 170 настоящих Правил (заполняется в случае недостатка целевых средств, поступивших по дифференцированным подушевым нормативам);">
        <w:r>
          <w:rPr>
            <w:sz w:val="24"/>
            <w:color w:val="0000ff"/>
          </w:rPr>
          <w:t xml:space="preserve">22</w:t>
        </w:r>
      </w:hyperlink>
      <w:r>
        <w:rPr>
          <w:sz w:val="24"/>
        </w:rPr>
        <w:t xml:space="preserve"> настоящего пункта, за вычетом суммы, предусмотренной </w:t>
      </w:r>
      <w:hyperlink w:history="0" w:anchor="P649" w:tooltip="7) сумму средств, полученных страховой медицинской организацией по заявке на авансирование за отчетный месяц;">
        <w:r>
          <w:rPr>
            <w:sz w:val="24"/>
            <w:color w:val="0000ff"/>
          </w:rPr>
          <w:t xml:space="preserve">подпунктом 7</w:t>
        </w:r>
      </w:hyperlink>
      <w:r>
        <w:rPr>
          <w:sz w:val="24"/>
        </w:rPr>
        <w:t xml:space="preserve"> настоящего пункта;</w:t>
      </w:r>
    </w:p>
    <w:p>
      <w:pPr>
        <w:pStyle w:val="0"/>
        <w:spacing w:before="240" w:lineRule="auto"/>
        <w:ind w:firstLine="540"/>
        <w:jc w:val="both"/>
      </w:pPr>
      <w:r>
        <w:rPr>
          <w:sz w:val="24"/>
        </w:rPr>
        <w:t xml:space="preserve">24) дата составления заявки на получение средств на оплату счетов.</w:t>
      </w:r>
    </w:p>
    <w:p>
      <w:pPr>
        <w:pStyle w:val="0"/>
        <w:spacing w:before="240" w:lineRule="auto"/>
        <w:ind w:firstLine="540"/>
        <w:jc w:val="both"/>
      </w:pPr>
      <w:r>
        <w:rPr>
          <w:sz w:val="24"/>
        </w:rPr>
        <w:t xml:space="preserve">165. К заявке на получение средств на оплату счетов страховой медицинской организацией прилагается реестр, содержащий сведения, указанные в настоящем пункте (за исключением сведений, указанных в </w:t>
      </w:r>
      <w:hyperlink w:history="0" w:anchor="P647" w:tooltip="5) численность застрахованных лиц в данной страховой медицинской организации, определенная как среднее значение между количеством застрахованных лиц на первое число отчетного месяца и первое число текущего месяца (далее - среднемесячная численность);">
        <w:r>
          <w:rPr>
            <w:sz w:val="24"/>
            <w:color w:val="0000ff"/>
          </w:rPr>
          <w:t xml:space="preserve">подпунктах 5</w:t>
        </w:r>
      </w:hyperlink>
      <w:r>
        <w:rPr>
          <w:sz w:val="24"/>
        </w:rPr>
        <w:t xml:space="preserve"> - </w:t>
      </w:r>
      <w:hyperlink w:history="0" w:anchor="P649" w:tooltip="7) сумму средств, полученных страховой медицинской организацией по заявке на авансирование за отчетный месяц;">
        <w:r>
          <w:rPr>
            <w:sz w:val="24"/>
            <w:color w:val="0000ff"/>
          </w:rPr>
          <w:t xml:space="preserve">7</w:t>
        </w:r>
      </w:hyperlink>
      <w:r>
        <w:rPr>
          <w:sz w:val="24"/>
        </w:rPr>
        <w:t xml:space="preserve"> и </w:t>
      </w:r>
      <w:hyperlink w:history="0" w:anchor="P667" w:tooltip="22) размер целевых средств для оплаты медицинской помощи в пределах остатка целевых средств, возвращенных в территориальный фонд в предыдущие периоды, а также подлежащих возврату в территориальный фонд в соответствии с пунктом 170 настоящих Правил (заполняется в случае недостатка целевых средств, поступивших по дифференцированным подушевым нормативам);">
        <w:r>
          <w:rPr>
            <w:sz w:val="24"/>
            <w:color w:val="0000ff"/>
          </w:rPr>
          <w:t xml:space="preserve">22 пункта 164</w:t>
        </w:r>
      </w:hyperlink>
      <w:r>
        <w:rPr>
          <w:sz w:val="24"/>
        </w:rPr>
        <w:t xml:space="preserve"> настоящих Правил) в разрезе медицинских организаций.</w:t>
      </w:r>
    </w:p>
    <w:p>
      <w:pPr>
        <w:pStyle w:val="0"/>
        <w:spacing w:before="240" w:lineRule="auto"/>
        <w:ind w:firstLine="540"/>
        <w:jc w:val="both"/>
      </w:pPr>
      <w:r>
        <w:rPr>
          <w:sz w:val="24"/>
        </w:rPr>
        <w:t xml:space="preserve">166. Заявка на авансирование, заявка на получение средств на оплату счетов и прилагаемый к ней реестр подписываются руководителем и главным бухгалтером страховой медицинской организации (уполномоченным лицом) и при формировании заявки на авансирование, заявки на получение средств на оплату счетов и прилагаемого к ней реестра в форме документа на бумажном носителе - заверяются печатью страховой медицинской организации (при наличии).</w:t>
      </w:r>
    </w:p>
    <w:p>
      <w:pPr>
        <w:pStyle w:val="0"/>
        <w:spacing w:before="240" w:lineRule="auto"/>
        <w:ind w:firstLine="540"/>
        <w:jc w:val="both"/>
      </w:pPr>
      <w:r>
        <w:rPr>
          <w:sz w:val="24"/>
        </w:rPr>
        <w:t xml:space="preserve">167. В целях формирования страховой медицинской организацией заявки на получение средств на оплату счетов территориальный фонд в сроки, установленные порядком проведения контроля объемов, сроков, качества и условий предоставления медицинской помощи по обязательному медицинскому страхованию, а также ее финансового обеспечения, утвержденным в соответствии с </w:t>
      </w:r>
      <w:hyperlink w:history="0" r:id="rId153" w:tooltip="Федеральный закон от 29.11.2010 N 326-ФЗ (ред. от 20.02.2026) &quot;Об обязательном медицинском страховании в Российской Федерации&quot; {КонсультантПлюс}">
        <w:r>
          <w:rPr>
            <w:sz w:val="24"/>
            <w:color w:val="0000ff"/>
          </w:rPr>
          <w:t xml:space="preserve">частью 1 статьи 40</w:t>
        </w:r>
      </w:hyperlink>
      <w:r>
        <w:rPr>
          <w:sz w:val="24"/>
        </w:rPr>
        <w:t xml:space="preserve"> Федерального закона (далее - порядок проведения контроля), направляет в страховую медицинскую организацию результаты медико-экономического контроля, оформленные заключениями по каждой медицинской организации, предусмотренными </w:t>
      </w:r>
      <w:hyperlink w:history="0" r:id="rId154" w:tooltip="Федеральный закон от 29.11.2010 N 326-ФЗ (ред. от 20.02.2026) &quot;Об обязательном медицинском страховании в Российской Федерации&quot; {КонсультантПлюс}">
        <w:r>
          <w:rPr>
            <w:sz w:val="24"/>
            <w:color w:val="0000ff"/>
          </w:rPr>
          <w:t xml:space="preserve">частью 9 статьи 40</w:t>
        </w:r>
      </w:hyperlink>
      <w:r>
        <w:rPr>
          <w:sz w:val="24"/>
        </w:rPr>
        <w:t xml:space="preserve"> Федерального закона, вместе с принятыми к оплате счетами и реестрами счетов согласно страховой принадлежности для их оплаты.</w:t>
      </w:r>
    </w:p>
    <w:p>
      <w:pPr>
        <w:pStyle w:val="0"/>
        <w:spacing w:before="240" w:lineRule="auto"/>
        <w:ind w:firstLine="540"/>
        <w:jc w:val="both"/>
      </w:pPr>
      <w:r>
        <w:rPr>
          <w:sz w:val="24"/>
        </w:rPr>
        <w:t xml:space="preserve">168. Территориальный фонд осуществляет перечисление целевых средств в страховую медицинскую организацию (за исключением средств, направленных из нормированного страхового запаса территориального фонда) в течение трех рабочих дней:</w:t>
      </w:r>
    </w:p>
    <w:bookmarkStart w:id="674" w:name="P674"/>
    <w:bookmarkEnd w:id="674"/>
    <w:p>
      <w:pPr>
        <w:pStyle w:val="0"/>
        <w:spacing w:before="240" w:lineRule="auto"/>
        <w:ind w:firstLine="540"/>
        <w:jc w:val="both"/>
      </w:pPr>
      <w:r>
        <w:rPr>
          <w:sz w:val="24"/>
        </w:rPr>
        <w:t xml:space="preserve">1) со дня получения заявки на авансирование, в размере не более 50 процентов в период с января по ноябрь, а в декабре - 95 процентов объема средств финансового обеспечения страховой медицинской организации, рассчитанного в соответствии с </w:t>
      </w:r>
      <w:hyperlink w:history="0" w:anchor="P711" w:tooltip="186. Размер финансового обеспечения страховой медицинской организации (ФФ) рассчитывается по формуле:">
        <w:r>
          <w:rPr>
            <w:sz w:val="24"/>
            <w:color w:val="0000ff"/>
          </w:rPr>
          <w:t xml:space="preserve">пунктом 186</w:t>
        </w:r>
      </w:hyperlink>
      <w:r>
        <w:rPr>
          <w:sz w:val="24"/>
        </w:rPr>
        <w:t xml:space="preserve"> настоящих Правил, на месяц, предшествующий месяцу направления заявки на авансирование;</w:t>
      </w:r>
    </w:p>
    <w:bookmarkStart w:id="675" w:name="P675"/>
    <w:bookmarkEnd w:id="675"/>
    <w:p>
      <w:pPr>
        <w:pStyle w:val="0"/>
        <w:spacing w:before="240" w:lineRule="auto"/>
        <w:ind w:firstLine="540"/>
        <w:jc w:val="both"/>
      </w:pPr>
      <w:r>
        <w:rPr>
          <w:sz w:val="24"/>
        </w:rPr>
        <w:t xml:space="preserve">2) со дня получения заявки на получение средств на оплату счетов с учетом ранее направленных средств на авансирование, но не более суммы целевых средств, рассчитанной исходя из количества застрахованных лиц и дифференцированных подушевых нормативов (с учетом остатка целевых средств, возвращенных в территориальный фонд в предыдущие периоды).</w:t>
      </w:r>
    </w:p>
    <w:p>
      <w:pPr>
        <w:pStyle w:val="0"/>
        <w:spacing w:before="240" w:lineRule="auto"/>
        <w:ind w:firstLine="540"/>
        <w:jc w:val="both"/>
      </w:pPr>
      <w:r>
        <w:rPr>
          <w:sz w:val="24"/>
        </w:rPr>
        <w:t xml:space="preserve">169. Остаток целевых средств, полученных по заявкам, страховая медицинская организация возвращает в территориальный фонд в течение трех рабочих дней после завершения расчетов с медицинскими организациями в отчетном месяце.</w:t>
      </w:r>
    </w:p>
    <w:bookmarkStart w:id="677" w:name="P677"/>
    <w:bookmarkEnd w:id="677"/>
    <w:p>
      <w:pPr>
        <w:pStyle w:val="0"/>
        <w:spacing w:before="240" w:lineRule="auto"/>
        <w:ind w:firstLine="540"/>
        <w:jc w:val="both"/>
      </w:pPr>
      <w:r>
        <w:rPr>
          <w:sz w:val="24"/>
        </w:rPr>
        <w:t xml:space="preserve">170. В случае превышения в отчетном месяце суммы аванса, направленного страховой медицинской организацией в медицинскую организацию, над размером счетов на оплату медицинской помощи с учетом результатов контроля объемов, сроков, качества и условий предоставления медицинской помощи, указанные средства подлежат возврату в территориальный фонд в последующие месяцы текущего года при возврате медицинской организацией средств в страховую медицинскую организацию, или на сумму указанного превышения страховой медицинской организацией уменьшается сумма аванса (окончательного расчета), представляемого страховой медицинской организацией в следующие периоды, и указанные средства учитываются страховой медицинской организацией при оплате медицинской помощи, оказанной медицинской организацией в следующем периоде.</w:t>
      </w:r>
    </w:p>
    <w:bookmarkStart w:id="678" w:name="P678"/>
    <w:bookmarkEnd w:id="678"/>
    <w:p>
      <w:pPr>
        <w:pStyle w:val="0"/>
        <w:spacing w:before="240" w:lineRule="auto"/>
        <w:ind w:firstLine="540"/>
        <w:jc w:val="both"/>
      </w:pPr>
      <w:r>
        <w:rPr>
          <w:sz w:val="24"/>
        </w:rPr>
        <w:t xml:space="preserve">171. Остаток целевых средств, возвращенный в территориальный фонд, может быть заявлен страховой медицинской организацией для оплаты медицинской помощи в последующие периоды в случае превышения для данной страховой медицинской организации в отчетном месяце фактического объема целевых средств на оплату медицинской помощи над объемом целевых средств для оплаты медицинской помощи, определенным с учетом дифференцированных подушевых нормативов. Средства, предназначенные на расходы на ведение дела, с указанных средств страховой медицинской организации не направляются. При наличии задолженности по оплате медицинской помощи за месяцы, предшествующие отчетному в текущем году, остатки целевых средств после оплаты медицинской помощи за отчетный месяц направляются в медицинские организации на пропорциональное погашение указанной задолженности. Средства, оставшиеся после погашения задолженности, подлежат возврату в территориальный фонд.</w:t>
      </w:r>
    </w:p>
    <w:p>
      <w:pPr>
        <w:pStyle w:val="0"/>
        <w:spacing w:before="240" w:lineRule="auto"/>
        <w:ind w:firstLine="540"/>
        <w:jc w:val="both"/>
      </w:pPr>
      <w:r>
        <w:rPr>
          <w:sz w:val="24"/>
        </w:rPr>
        <w:t xml:space="preserve">172. При превышении объема средств, необходимых для оплаты медицинской помощи за отчетный месяц по принятым к оплате территориальным фондом по результатам медико-экономического контроля счетам над размером финансового обеспечения, утвержденным территориальным фондом для страховой медицинской организации по подушевым нормативам, с учетом остатка целевых средств, возвращенных по результатам проведенных страховой медицинской организацией медико-экономической экспертизы и экспертизы качества медицинской помощи в территориальный фонд в (за) предшествующие периоды, страховая медицинская организация вправе обратиться в территориальный фонд за предоставлением целевых средств для оплаты медицинской помощи из нормированного страхового запаса территориального фонда в связи с повышенной заболеваемостью, увеличением тарифов, увеличением числа застрахованных лиц и (или) изменением их структуры по полу и возрасту.</w:t>
      </w:r>
    </w:p>
    <w:p>
      <w:pPr>
        <w:pStyle w:val="0"/>
        <w:spacing w:before="240" w:lineRule="auto"/>
        <w:ind w:firstLine="540"/>
        <w:jc w:val="both"/>
      </w:pPr>
      <w:r>
        <w:rPr>
          <w:sz w:val="24"/>
        </w:rPr>
        <w:t xml:space="preserve">173. Страховая медицинская организация обращается в территориальный фонд за предоставлением целевых средств, недостающих для оплаты медицинской помощи, из нормированного страхового запаса территориального фонда не позднее пяти рабочих дней с даты получения от территориального фонда счетов и реестров счетов на оплату медицинской помощи.</w:t>
      </w:r>
    </w:p>
    <w:p>
      <w:pPr>
        <w:pStyle w:val="0"/>
        <w:spacing w:before="240" w:lineRule="auto"/>
        <w:ind w:firstLine="540"/>
        <w:jc w:val="both"/>
      </w:pPr>
      <w:r>
        <w:rPr>
          <w:sz w:val="24"/>
        </w:rPr>
        <w:t xml:space="preserve">174. Одновременно с обращением страховая медицинская организация представляет в территориальный фонд отчет об использовании целевых средств, который составляется помесячно за весь период с начала отчетного года по каждой медицинской организации и должен содержать сведения о:</w:t>
      </w:r>
    </w:p>
    <w:p>
      <w:pPr>
        <w:pStyle w:val="0"/>
        <w:spacing w:before="240" w:lineRule="auto"/>
        <w:ind w:firstLine="540"/>
        <w:jc w:val="both"/>
      </w:pPr>
      <w:r>
        <w:rPr>
          <w:sz w:val="24"/>
        </w:rPr>
        <w:t xml:space="preserve">1) задолженности страховой медицинской организации перед медицинской организацией на начало отчетного месяца по принятым к оплате счетам на оплату медицинской помощи;</w:t>
      </w:r>
    </w:p>
    <w:p>
      <w:pPr>
        <w:pStyle w:val="0"/>
        <w:spacing w:before="240" w:lineRule="auto"/>
        <w:ind w:firstLine="540"/>
        <w:jc w:val="both"/>
      </w:pPr>
      <w:r>
        <w:rPr>
          <w:sz w:val="24"/>
        </w:rPr>
        <w:t xml:space="preserve">2) задолженности медицинской организации перед страховой медицинской организацией на начало отчетного месяца по возврату средств вследствие принятия мер в соответствии со </w:t>
      </w:r>
      <w:hyperlink w:history="0" r:id="rId155" w:tooltip="Федеральный закон от 29.11.2010 N 326-ФЗ (ред. от 20.02.2026) &quot;Об обязательном медицинском страховании в Российской Федерации&quot; {КонсультантПлюс}">
        <w:r>
          <w:rPr>
            <w:sz w:val="24"/>
            <w:color w:val="0000ff"/>
          </w:rPr>
          <w:t xml:space="preserve">статьей 41</w:t>
        </w:r>
      </w:hyperlink>
      <w:r>
        <w:rPr>
          <w:sz w:val="24"/>
        </w:rPr>
        <w:t xml:space="preserve"> Федерального закона;</w:t>
      </w:r>
    </w:p>
    <w:p>
      <w:pPr>
        <w:pStyle w:val="0"/>
        <w:spacing w:before="240" w:lineRule="auto"/>
        <w:ind w:firstLine="540"/>
        <w:jc w:val="both"/>
      </w:pPr>
      <w:r>
        <w:rPr>
          <w:sz w:val="24"/>
        </w:rPr>
        <w:t xml:space="preserve">3) задолженности медицинской организации перед страховой медицинской организацией на начало отчетного месяца по возврату средств авансирования;</w:t>
      </w:r>
    </w:p>
    <w:p>
      <w:pPr>
        <w:pStyle w:val="0"/>
        <w:spacing w:before="240" w:lineRule="auto"/>
        <w:ind w:firstLine="540"/>
        <w:jc w:val="both"/>
      </w:pPr>
      <w:r>
        <w:rPr>
          <w:sz w:val="24"/>
        </w:rPr>
        <w:t xml:space="preserve">4) сумме счетов на оплату медицинской помощи, предъявленных медицинской организацией по лицам, застрахованным в страховой медицинской организации, и принятых к оплате по итогам медико-экономического контроля в отчетном месяце;</w:t>
      </w:r>
    </w:p>
    <w:p>
      <w:pPr>
        <w:pStyle w:val="0"/>
        <w:spacing w:before="240" w:lineRule="auto"/>
        <w:ind w:firstLine="540"/>
        <w:jc w:val="both"/>
      </w:pPr>
      <w:r>
        <w:rPr>
          <w:sz w:val="24"/>
        </w:rPr>
        <w:t xml:space="preserve">5) подлежащем учету по итогам отчетного месяца размере неоплаты или неполной оплаты затрат медицинской организации на оказание медицинской помощи по результатам контроля объемов, сроков, качества и условий предоставления медицинской помощи;</w:t>
      </w:r>
    </w:p>
    <w:p>
      <w:pPr>
        <w:pStyle w:val="0"/>
        <w:spacing w:before="240" w:lineRule="auto"/>
        <w:ind w:firstLine="540"/>
        <w:jc w:val="both"/>
      </w:pPr>
      <w:r>
        <w:rPr>
          <w:sz w:val="24"/>
        </w:rPr>
        <w:t xml:space="preserve">6) суммарном размере средств, направленных в медицинскую организацию по отчетному месяцу на авансирование оплаты медицинской помощи за отчетный месяц и по выставленным счетам на оплату медицинской помощи в отчетном месяце;</w:t>
      </w:r>
    </w:p>
    <w:p>
      <w:pPr>
        <w:pStyle w:val="0"/>
        <w:spacing w:before="240" w:lineRule="auto"/>
        <w:ind w:firstLine="540"/>
        <w:jc w:val="both"/>
      </w:pPr>
      <w:r>
        <w:rPr>
          <w:sz w:val="24"/>
        </w:rPr>
        <w:t xml:space="preserve">7) возвращенном медицинской организацией в страховую медицинскую организацию размере средств в связи с принятием мер в соответствии со </w:t>
      </w:r>
      <w:hyperlink w:history="0" r:id="rId156" w:tooltip="Федеральный закон от 29.11.2010 N 326-ФЗ (ред. от 20.02.2026) &quot;Об обязательном медицинском страховании в Российской Федерации&quot; {КонсультантПлюс}">
        <w:r>
          <w:rPr>
            <w:sz w:val="24"/>
            <w:color w:val="0000ff"/>
          </w:rPr>
          <w:t xml:space="preserve">статьей 41</w:t>
        </w:r>
      </w:hyperlink>
      <w:r>
        <w:rPr>
          <w:sz w:val="24"/>
        </w:rPr>
        <w:t xml:space="preserve"> Федерального закона;</w:t>
      </w:r>
    </w:p>
    <w:p>
      <w:pPr>
        <w:pStyle w:val="0"/>
        <w:spacing w:before="240" w:lineRule="auto"/>
        <w:ind w:firstLine="540"/>
        <w:jc w:val="both"/>
      </w:pPr>
      <w:r>
        <w:rPr>
          <w:sz w:val="24"/>
        </w:rPr>
        <w:t xml:space="preserve">8) возвращенном медицинской организацией в страховую медицинскую организацию размере средств в связи с превышением суммы авансирования оказания медицинской помощи над суммой счетов на оплату медицинской помощи с учетом результатов контроля объемов, сроков, качества и условий предоставления медицинской помощи;</w:t>
      </w:r>
    </w:p>
    <w:p>
      <w:pPr>
        <w:pStyle w:val="0"/>
        <w:spacing w:before="240" w:lineRule="auto"/>
        <w:ind w:firstLine="540"/>
        <w:jc w:val="both"/>
      </w:pPr>
      <w:r>
        <w:rPr>
          <w:sz w:val="24"/>
        </w:rPr>
        <w:t xml:space="preserve">9) задолженности медицинской организации в соответствии с решениями, принятыми в соответствии с законодательством Российской Федерации;</w:t>
      </w:r>
    </w:p>
    <w:p>
      <w:pPr>
        <w:pStyle w:val="0"/>
        <w:spacing w:before="240" w:lineRule="auto"/>
        <w:ind w:firstLine="540"/>
        <w:jc w:val="both"/>
      </w:pPr>
      <w:r>
        <w:rPr>
          <w:sz w:val="24"/>
        </w:rPr>
        <w:t xml:space="preserve">10) размере списанной задолженности медицинской организации в соответствии с решениями, принятыми в соответствии с законодательством Российской Федерации;</w:t>
      </w:r>
    </w:p>
    <w:p>
      <w:pPr>
        <w:pStyle w:val="0"/>
        <w:spacing w:before="240" w:lineRule="auto"/>
        <w:ind w:firstLine="540"/>
        <w:jc w:val="both"/>
      </w:pPr>
      <w:r>
        <w:rPr>
          <w:sz w:val="24"/>
        </w:rPr>
        <w:t xml:space="preserve">11) задолженности страховой медицинской организации перед медицинской организацией за отчетный месяц по принятым к оплате счетам на оплату медицинской помощи;</w:t>
      </w:r>
    </w:p>
    <w:p>
      <w:pPr>
        <w:pStyle w:val="0"/>
        <w:spacing w:before="240" w:lineRule="auto"/>
        <w:ind w:firstLine="540"/>
        <w:jc w:val="both"/>
      </w:pPr>
      <w:r>
        <w:rPr>
          <w:sz w:val="24"/>
        </w:rPr>
        <w:t xml:space="preserve">12) задолженности медицинской организации перед страховой медицинской организацией за отчетный месяц по возврату средств вследствие принятия мер в соответствии со </w:t>
      </w:r>
      <w:hyperlink w:history="0" r:id="rId157" w:tooltip="Федеральный закон от 29.11.2010 N 326-ФЗ (ред. от 20.02.2026) &quot;Об обязательном медицинском страховании в Российской Федерации&quot; {КонсультантПлюс}">
        <w:r>
          <w:rPr>
            <w:sz w:val="24"/>
            <w:color w:val="0000ff"/>
          </w:rPr>
          <w:t xml:space="preserve">статьей 41</w:t>
        </w:r>
      </w:hyperlink>
      <w:r>
        <w:rPr>
          <w:sz w:val="24"/>
        </w:rPr>
        <w:t xml:space="preserve"> Федерального закона.</w:t>
      </w:r>
    </w:p>
    <w:p>
      <w:pPr>
        <w:pStyle w:val="0"/>
        <w:spacing w:before="240" w:lineRule="auto"/>
        <w:ind w:firstLine="540"/>
        <w:jc w:val="both"/>
      </w:pPr>
      <w:r>
        <w:rPr>
          <w:sz w:val="24"/>
        </w:rPr>
        <w:t xml:space="preserve">13) задолженности медицинской организации перед страховой медицинской организацией на конец отчетного месяца по средствам авансирования оказания медицинской помощи, не обеспеченным принятыми к оплате счетами на оплату медицинской помощи по результатам контроля объемов, сроков, качества и условий предоставления медицинской помощи.</w:t>
      </w:r>
    </w:p>
    <w:p>
      <w:pPr>
        <w:pStyle w:val="0"/>
        <w:spacing w:before="240" w:lineRule="auto"/>
        <w:ind w:firstLine="540"/>
        <w:jc w:val="both"/>
      </w:pPr>
      <w:r>
        <w:rPr>
          <w:sz w:val="24"/>
        </w:rPr>
        <w:t xml:space="preserve">175. Страховая медицинская организация одновременно с отчетом об использовании целевых средств предоставляет в территориальный фонд согласованный с медицинской организацией график возврата медицинской организацией задолженности по возврату средств авансирования, не обеспеченных выставленными счетами на оплату медицинской помощи с учетом результатов контроля объемов, сроков, качества и условий предоставления медицинской помощи.</w:t>
      </w:r>
    </w:p>
    <w:p>
      <w:pPr>
        <w:pStyle w:val="0"/>
        <w:spacing w:before="240" w:lineRule="auto"/>
        <w:ind w:firstLine="540"/>
        <w:jc w:val="both"/>
      </w:pPr>
      <w:r>
        <w:rPr>
          <w:sz w:val="24"/>
        </w:rPr>
        <w:t xml:space="preserve">176. Решение о предоставлении средств из нормированного страхового запаса территориального фонда принимается территориальным фондом после:</w:t>
      </w:r>
    </w:p>
    <w:p>
      <w:pPr>
        <w:pStyle w:val="0"/>
        <w:spacing w:before="240" w:lineRule="auto"/>
        <w:ind w:firstLine="540"/>
        <w:jc w:val="both"/>
      </w:pPr>
      <w:r>
        <w:rPr>
          <w:sz w:val="24"/>
        </w:rPr>
        <w:t xml:space="preserve">1) рассмотрения отчета страховой медицинской организации об использовании целевых средств;</w:t>
      </w:r>
    </w:p>
    <w:bookmarkStart w:id="698" w:name="P698"/>
    <w:bookmarkEnd w:id="698"/>
    <w:p>
      <w:pPr>
        <w:pStyle w:val="0"/>
        <w:spacing w:before="240" w:lineRule="auto"/>
        <w:ind w:firstLine="540"/>
        <w:jc w:val="both"/>
      </w:pPr>
      <w:r>
        <w:rPr>
          <w:sz w:val="24"/>
        </w:rPr>
        <w:t xml:space="preserve">2) проведения проверки в целях установления причин недостатка целевых средств у страховой медицинской организации, включающей подтверждение территориальным фондом увеличения объемов, в том числе связанное с повышенной заболеваемостью, и их финансового обеспечения, включая увеличение тарифов на оплату медицинского помощи, а также количества застрахованных лиц и (или) изменением их структуры по полу и возрасту.</w:t>
      </w:r>
    </w:p>
    <w:p>
      <w:pPr>
        <w:pStyle w:val="0"/>
        <w:spacing w:before="240" w:lineRule="auto"/>
        <w:ind w:firstLine="540"/>
        <w:jc w:val="both"/>
      </w:pPr>
      <w:r>
        <w:rPr>
          <w:sz w:val="24"/>
        </w:rPr>
        <w:t xml:space="preserve">177. Срок проведения проверки не может превышать срок, установленный в соответствии с </w:t>
      </w:r>
      <w:hyperlink w:history="0" r:id="rId158" w:tooltip="Федеральный закон от 29.11.2010 N 326-ФЗ (ред. от 20.02.2026) &quot;Об обязательном медицинском страховании в Российской Федерации&quot; {КонсультантПлюс}">
        <w:r>
          <w:rPr>
            <w:sz w:val="24"/>
            <w:color w:val="0000ff"/>
          </w:rPr>
          <w:t xml:space="preserve">частью 8 статьи 38</w:t>
        </w:r>
      </w:hyperlink>
      <w:r>
        <w:rPr>
          <w:sz w:val="24"/>
        </w:rPr>
        <w:t xml:space="preserve"> Федерального закона.</w:t>
      </w:r>
    </w:p>
    <w:p>
      <w:pPr>
        <w:pStyle w:val="0"/>
        <w:spacing w:before="240" w:lineRule="auto"/>
        <w:ind w:firstLine="540"/>
        <w:jc w:val="both"/>
      </w:pPr>
      <w:r>
        <w:rPr>
          <w:sz w:val="24"/>
        </w:rPr>
        <w:t xml:space="preserve">178. Предоставление указанных средств осуществляется в соответствии с порядком использования средств нормированного страхового запаса территориального фонда, установленным Федеральным фондом в соответствии с </w:t>
      </w:r>
      <w:hyperlink w:history="0" r:id="rId159" w:tooltip="Федеральный закон от 29.11.2010 N 326-ФЗ (ред. от 20.02.2026) &quot;Об обязательном медицинском страховании в Российской Федерации&quot; {КонсультантПлюс}">
        <w:r>
          <w:rPr>
            <w:sz w:val="24"/>
            <w:color w:val="0000ff"/>
          </w:rPr>
          <w:t xml:space="preserve">частью 6.4 статьи 26</w:t>
        </w:r>
      </w:hyperlink>
      <w:r>
        <w:rPr>
          <w:sz w:val="24"/>
        </w:rPr>
        <w:t xml:space="preserve"> Федерального закона, не позднее пяти рабочих дней со дня окончания проверки.</w:t>
      </w:r>
    </w:p>
    <w:p>
      <w:pPr>
        <w:pStyle w:val="0"/>
        <w:spacing w:before="240" w:lineRule="auto"/>
        <w:ind w:firstLine="540"/>
        <w:jc w:val="both"/>
      </w:pPr>
      <w:r>
        <w:rPr>
          <w:sz w:val="24"/>
        </w:rPr>
        <w:t xml:space="preserve">179. В случае превышения суммарного объема средств по обращениям, полученным от страховых медицинских организаций, над размером сформированного нормированного страхового запаса, территориальный фонд уменьшает сумму пропорционально для каждой страховой медицинской организации для приведения в соответствие с размером средств нормированного страхового запаса. При этом страховая медицинская организация направляет полученные от территориального фонда средства нормированного страхового запаса в медицинские организации пропорционально суммам, указанным в заявке на получение средств на оплату счетов медицинской организации.</w:t>
      </w:r>
    </w:p>
    <w:p>
      <w:pPr>
        <w:pStyle w:val="0"/>
        <w:spacing w:before="240" w:lineRule="auto"/>
        <w:ind w:firstLine="540"/>
        <w:jc w:val="both"/>
      </w:pPr>
      <w:r>
        <w:rPr>
          <w:sz w:val="24"/>
        </w:rPr>
        <w:t xml:space="preserve">180. Основаниями для отказа в предоставлении страховой медицинской организации средств из нормированного страхового запаса территориального фонда сверх установленного объема средств на оплату медицинской помощи для данной страховой медицинской организации согласно </w:t>
      </w:r>
      <w:hyperlink w:history="0" r:id="rId160" w:tooltip="Федеральный закон от 29.11.2010 N 326-ФЗ (ред. от 20.02.2026) &quot;Об обязательном медицинском страховании в Российской Федерации&quot; {КонсультантПлюс}">
        <w:r>
          <w:rPr>
            <w:sz w:val="24"/>
            <w:color w:val="0000ff"/>
          </w:rPr>
          <w:t xml:space="preserve">части 9 статьи 38</w:t>
        </w:r>
      </w:hyperlink>
      <w:r>
        <w:rPr>
          <w:sz w:val="24"/>
        </w:rPr>
        <w:t xml:space="preserve"> Федерального закона являются:</w:t>
      </w:r>
    </w:p>
    <w:p>
      <w:pPr>
        <w:pStyle w:val="0"/>
        <w:spacing w:before="240" w:lineRule="auto"/>
        <w:ind w:firstLine="540"/>
        <w:jc w:val="both"/>
      </w:pPr>
      <w:r>
        <w:rPr>
          <w:sz w:val="24"/>
        </w:rPr>
        <w:t xml:space="preserve">1) наличие у страховой медицинской организации остатка целевых средств;</w:t>
      </w:r>
    </w:p>
    <w:p>
      <w:pPr>
        <w:pStyle w:val="0"/>
        <w:spacing w:before="240" w:lineRule="auto"/>
        <w:ind w:firstLine="540"/>
        <w:jc w:val="both"/>
      </w:pPr>
      <w:r>
        <w:rPr>
          <w:sz w:val="24"/>
        </w:rPr>
        <w:t xml:space="preserve">2) необоснованность объема дополнительно запрашиваемых средств, выявленная территориальным фондом по результатам проведения контроля объемов, сроков, качества и условий предоставления медицинской помощи, тарифов на оплату медицинской помощи и проведения экспертизы качества медицинской помощи;</w:t>
      </w:r>
    </w:p>
    <w:p>
      <w:pPr>
        <w:pStyle w:val="0"/>
        <w:spacing w:before="240" w:lineRule="auto"/>
        <w:ind w:firstLine="540"/>
        <w:jc w:val="both"/>
      </w:pPr>
      <w:r>
        <w:rPr>
          <w:sz w:val="24"/>
        </w:rPr>
        <w:t xml:space="preserve">3) отсутствие средств в нормированном страховом запасе территориального фонда.</w:t>
      </w:r>
    </w:p>
    <w:p>
      <w:pPr>
        <w:pStyle w:val="0"/>
        <w:spacing w:before="240" w:lineRule="auto"/>
        <w:ind w:firstLine="540"/>
        <w:jc w:val="both"/>
      </w:pPr>
      <w:r>
        <w:rPr>
          <w:sz w:val="24"/>
        </w:rPr>
        <w:t xml:space="preserve">181. Территориальный фонд ведет учет расходования целевых средств на оплату медицинской помощи каждой страховой медицинской организацией.</w:t>
      </w:r>
    </w:p>
    <w:p>
      <w:pPr>
        <w:pStyle w:val="0"/>
        <w:spacing w:before="240" w:lineRule="auto"/>
        <w:ind w:firstLine="540"/>
        <w:jc w:val="both"/>
      </w:pPr>
      <w:r>
        <w:rPr>
          <w:sz w:val="24"/>
        </w:rPr>
        <w:t xml:space="preserve">182. Средства, предназначенные на расходы на ведение дела, представляются страховой медицинской организации в пределах установленного норматива в соответствии с договором о финансовом обеспечении обязательного медицинского страхования.</w:t>
      </w:r>
    </w:p>
    <w:p>
      <w:pPr>
        <w:pStyle w:val="0"/>
        <w:spacing w:before="240" w:lineRule="auto"/>
        <w:ind w:firstLine="540"/>
        <w:jc w:val="both"/>
      </w:pPr>
      <w:r>
        <w:rPr>
          <w:sz w:val="24"/>
        </w:rPr>
        <w:t xml:space="preserve">183. Территориальный фонд в соответствии с </w:t>
      </w:r>
      <w:hyperlink w:history="0" r:id="rId161" w:tooltip="Федеральный закон от 29.11.2010 N 326-ФЗ (ред. от 20.02.2026) &quot;Об обязательном медицинском страховании в Российской Федерации&quot; {КонсультантПлюс}">
        <w:r>
          <w:rPr>
            <w:sz w:val="24"/>
            <w:color w:val="0000ff"/>
          </w:rPr>
          <w:t xml:space="preserve">пунктом 6 части 7 статьи 34</w:t>
        </w:r>
      </w:hyperlink>
      <w:r>
        <w:rPr>
          <w:sz w:val="24"/>
        </w:rPr>
        <w:t xml:space="preserve"> Федерального закона утверждает для страховых медицинских организаций дифференцированные подушевые нормативы финансового обеспечения обязательного медицинского страхования в соответствии с настоящими Правилами.</w:t>
      </w:r>
    </w:p>
    <w:p>
      <w:pPr>
        <w:pStyle w:val="0"/>
        <w:spacing w:before="240" w:lineRule="auto"/>
        <w:ind w:firstLine="540"/>
        <w:jc w:val="both"/>
      </w:pPr>
      <w:r>
        <w:rPr>
          <w:sz w:val="24"/>
        </w:rPr>
        <w:t xml:space="preserve">184. Расчет размеров финансового обеспечения страховых медицинских организаций по дифференцированным подушевым нормативам осуществляется территориальным фондом ежемесячно и утверждается руководителем территориального фонда или иным лицом территориального фонда, имеющим право действовать от имени территориального фонда.</w:t>
      </w:r>
    </w:p>
    <w:p>
      <w:pPr>
        <w:pStyle w:val="0"/>
        <w:spacing w:before="240" w:lineRule="auto"/>
        <w:ind w:firstLine="540"/>
        <w:jc w:val="both"/>
      </w:pPr>
      <w:r>
        <w:rPr>
          <w:sz w:val="24"/>
        </w:rPr>
        <w:t xml:space="preserve">185. Ежемесячно, в течение первых четырех рабочих дней месяца, следующего за отчетным месяцем, территориальный фонд, исходя из среднемесячной численности застрахованных в страховой медицинской организации лиц с учетом их половозрастного состава и утвержденных дифференцированных подушевых нормативов, определяет и доводит до страховых медицинских организаций размеры финансового обеспечения за отчетный месяц.</w:t>
      </w:r>
    </w:p>
    <w:bookmarkStart w:id="711" w:name="P711"/>
    <w:bookmarkEnd w:id="711"/>
    <w:p>
      <w:pPr>
        <w:pStyle w:val="0"/>
        <w:spacing w:before="240" w:lineRule="auto"/>
        <w:ind w:firstLine="540"/>
        <w:jc w:val="both"/>
      </w:pPr>
      <w:r>
        <w:rPr>
          <w:sz w:val="24"/>
        </w:rPr>
        <w:t xml:space="preserve">186. Размер финансового обеспечения страховой медицинской организации (ФФ) рассчитывается по формуле:</w:t>
      </w:r>
    </w:p>
    <w:p>
      <w:pPr>
        <w:pStyle w:val="0"/>
        <w:jc w:val="both"/>
      </w:pPr>
      <w:r>
        <w:rPr>
          <w:sz w:val="24"/>
        </w:rPr>
      </w:r>
    </w:p>
    <w:p>
      <w:pPr>
        <w:pStyle w:val="0"/>
        <w:jc w:val="center"/>
      </w:pPr>
      <w:r>
        <w:rPr>
          <w:position w:val="-12"/>
        </w:rPr>
        <w:drawing>
          <wp:inline distT="0" distB="0" distL="0" distR="0">
            <wp:extent cx="1703070" cy="30861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62">
                      <a:extLst>
                        <a:ext uri="{28A0092B-C50C-407E-A947-70E740481C1C}">
                          <a14:useLocalDpi xmlns:a14="http://schemas.microsoft.com/office/drawing/2010/main" val="0"/>
                        </a:ext>
                      </a:extLst>
                    </a:blip>
                    <a:srcRect/>
                    <a:stretch>
                      <a:fillRect/>
                    </a:stretch>
                  </pic:blipFill>
                  <pic:spPr bwMode="auto">
                    <a:xfrm>
                      <a:off x="0" y="0"/>
                      <a:ext cx="1703070" cy="308610"/>
                    </a:xfrm>
                    <a:prstGeom prst="rect">
                      <a:avLst/>
                    </a:prstGeom>
                    <a:noFill/>
                    <a:ln>
                      <a:noFill/>
                    </a:ln>
                  </pic:spPr>
                </pic:pic>
              </a:graphicData>
            </a:graphic>
          </wp:inline>
        </w:drawing>
      </w:r>
    </w:p>
    <w:p>
      <w:pPr>
        <w:pStyle w:val="0"/>
        <w:jc w:val="both"/>
      </w:pPr>
      <w:r>
        <w:rPr>
          <w:sz w:val="24"/>
        </w:rPr>
      </w:r>
    </w:p>
    <w:p>
      <w:pPr>
        <w:pStyle w:val="0"/>
        <w:ind w:firstLine="540"/>
        <w:jc w:val="both"/>
      </w:pPr>
      <w:r>
        <w:rPr>
          <w:sz w:val="24"/>
        </w:rPr>
        <w:t xml:space="preserve">где:</w:t>
      </w:r>
    </w:p>
    <w:p>
      <w:pPr>
        <w:pStyle w:val="0"/>
        <w:spacing w:before="240" w:lineRule="auto"/>
        <w:ind w:firstLine="540"/>
        <w:jc w:val="both"/>
      </w:pPr>
      <w:r>
        <w:rPr>
          <w:sz w:val="24"/>
        </w:rPr>
        <w:t xml:space="preserve">Д</w:t>
      </w:r>
      <w:r>
        <w:rPr>
          <w:sz w:val="24"/>
          <w:vertAlign w:val="subscript"/>
        </w:rPr>
        <w:t xml:space="preserve">i</w:t>
      </w:r>
      <w:r>
        <w:rPr>
          <w:sz w:val="24"/>
        </w:rPr>
        <w:t xml:space="preserve"> - дифференцированный подушевой норматив для i-той половозрастной группы застрахованных лиц;</w:t>
      </w:r>
    </w:p>
    <w:p>
      <w:pPr>
        <w:pStyle w:val="0"/>
        <w:spacing w:before="240" w:lineRule="auto"/>
        <w:ind w:firstLine="540"/>
        <w:jc w:val="both"/>
      </w:pPr>
      <w:r>
        <w:rPr>
          <w:sz w:val="24"/>
        </w:rPr>
        <w:t xml:space="preserve">Ч</w:t>
      </w:r>
      <w:r>
        <w:rPr>
          <w:sz w:val="24"/>
          <w:vertAlign w:val="subscript"/>
        </w:rPr>
        <w:t xml:space="preserve">i</w:t>
      </w:r>
      <w:r>
        <w:rPr>
          <w:sz w:val="24"/>
        </w:rPr>
        <w:t xml:space="preserve"> - среднемесячная численность застрахованных лиц i-той половозрастной группы в страховой медицинской организации;</w:t>
      </w:r>
    </w:p>
    <w:p>
      <w:pPr>
        <w:pStyle w:val="0"/>
        <w:spacing w:before="240" w:lineRule="auto"/>
        <w:ind w:firstLine="540"/>
        <w:jc w:val="both"/>
      </w:pPr>
      <w:r>
        <w:rPr>
          <w:sz w:val="24"/>
        </w:rPr>
        <w:t xml:space="preserve">КП - поправочный коэффициент, обеспечивающий приведение объема средств, рассчитанного по дифференцированным подушевым нормативам, к общему объему средств на финансовое обеспечение страховых медицинских организаций в расчетном месяце и рассчитывающийся по формуле:</w:t>
      </w:r>
    </w:p>
    <w:p>
      <w:pPr>
        <w:pStyle w:val="0"/>
        <w:jc w:val="both"/>
      </w:pPr>
      <w:r>
        <w:rPr>
          <w:sz w:val="24"/>
        </w:rPr>
      </w:r>
    </w:p>
    <w:p>
      <w:pPr>
        <w:pStyle w:val="0"/>
        <w:jc w:val="center"/>
      </w:pPr>
      <w:r>
        <w:rPr>
          <w:position w:val="-33"/>
        </w:rPr>
        <w:drawing>
          <wp:inline distT="0" distB="0" distL="0" distR="0">
            <wp:extent cx="1383030" cy="58293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63">
                      <a:extLst>
                        <a:ext uri="{28A0092B-C50C-407E-A947-70E740481C1C}">
                          <a14:useLocalDpi xmlns:a14="http://schemas.microsoft.com/office/drawing/2010/main" val="0"/>
                        </a:ext>
                      </a:extLst>
                    </a:blip>
                    <a:srcRect/>
                    <a:stretch>
                      <a:fillRect/>
                    </a:stretch>
                  </pic:blipFill>
                  <pic:spPr bwMode="auto">
                    <a:xfrm>
                      <a:off x="0" y="0"/>
                      <a:ext cx="1383030" cy="582930"/>
                    </a:xfrm>
                    <a:prstGeom prst="rect">
                      <a:avLst/>
                    </a:prstGeom>
                    <a:noFill/>
                    <a:ln>
                      <a:noFill/>
                    </a:ln>
                  </pic:spPr>
                </pic:pic>
              </a:graphicData>
            </a:graphic>
          </wp:inline>
        </w:drawing>
      </w:r>
    </w:p>
    <w:p>
      <w:pPr>
        <w:pStyle w:val="0"/>
        <w:jc w:val="both"/>
      </w:pPr>
      <w:r>
        <w:rPr>
          <w:sz w:val="24"/>
        </w:rPr>
      </w:r>
    </w:p>
    <w:p>
      <w:pPr>
        <w:pStyle w:val="0"/>
        <w:ind w:firstLine="540"/>
        <w:jc w:val="both"/>
      </w:pPr>
      <w:r>
        <w:rPr>
          <w:sz w:val="24"/>
        </w:rPr>
        <w:t xml:space="preserve">где:</w:t>
      </w:r>
    </w:p>
    <w:p>
      <w:pPr>
        <w:pStyle w:val="0"/>
        <w:spacing w:before="240" w:lineRule="auto"/>
        <w:ind w:firstLine="540"/>
        <w:jc w:val="both"/>
      </w:pPr>
      <w:r>
        <w:rPr>
          <w:sz w:val="24"/>
        </w:rPr>
        <w:t xml:space="preserve">С - среднедушевой норматив финансирования страховых медицинских организаций;</w:t>
      </w:r>
    </w:p>
    <w:p>
      <w:pPr>
        <w:pStyle w:val="0"/>
        <w:spacing w:before="240" w:lineRule="auto"/>
        <w:ind w:firstLine="540"/>
        <w:jc w:val="both"/>
      </w:pPr>
      <w:r>
        <w:rPr>
          <w:sz w:val="24"/>
        </w:rPr>
        <w:t xml:space="preserve">Ч - среднемесячная численность застрахованных лиц субъекта Российской Федерации;</w:t>
      </w:r>
    </w:p>
    <w:p>
      <w:pPr>
        <w:pStyle w:val="0"/>
        <w:spacing w:before="240" w:lineRule="auto"/>
        <w:ind w:firstLine="540"/>
        <w:jc w:val="both"/>
      </w:pPr>
      <w:r>
        <w:rPr>
          <w:sz w:val="24"/>
        </w:rPr>
        <w:t xml:space="preserve">k - количество страховых медицинских организаций.</w:t>
      </w:r>
    </w:p>
    <w:p>
      <w:pPr>
        <w:pStyle w:val="0"/>
        <w:spacing w:before="240" w:lineRule="auto"/>
        <w:ind w:firstLine="540"/>
        <w:jc w:val="both"/>
      </w:pPr>
      <w:r>
        <w:rPr>
          <w:sz w:val="24"/>
        </w:rPr>
        <w:t xml:space="preserve">187. Страховая медицинская организация, получившая от территориального фонда сведения о застрахованном лице, в отношении которого территориальным органом Фонда пенсионного и социального страхования Российской Федерации принято решение об оплате расходов на медицинскую помощь застрахованному лицу непосредственно после произошедшего тяжелого несчастного случая на производстве, информирует его о принятых мерах по исключению из оплаты за счет средств обязательного медицинского страхования случая оказания указанной медицинской помощи не позднее трех рабочих дней со дня принятия соответствующих мер.</w:t>
      </w:r>
    </w:p>
    <w:p>
      <w:pPr>
        <w:pStyle w:val="0"/>
        <w:spacing w:before="240" w:lineRule="auto"/>
        <w:ind w:firstLine="540"/>
        <w:jc w:val="both"/>
      </w:pPr>
      <w:r>
        <w:rPr>
          <w:sz w:val="24"/>
        </w:rPr>
        <w:t xml:space="preserve">188. Территориальный фонд и страховая медицинская организация ежемесячно проводят сверку расчетов, по результатам которой составляют акт сверки расчетов (далее - Акт), который должен содержать сведения о/об:</w:t>
      </w:r>
    </w:p>
    <w:p>
      <w:pPr>
        <w:pStyle w:val="0"/>
        <w:spacing w:before="240" w:lineRule="auto"/>
        <w:ind w:firstLine="540"/>
        <w:jc w:val="both"/>
      </w:pPr>
      <w:r>
        <w:rPr>
          <w:sz w:val="24"/>
        </w:rPr>
        <w:t xml:space="preserve">1) территориальном фонде;</w:t>
      </w:r>
    </w:p>
    <w:p>
      <w:pPr>
        <w:pStyle w:val="0"/>
        <w:spacing w:before="240" w:lineRule="auto"/>
        <w:ind w:firstLine="540"/>
        <w:jc w:val="both"/>
      </w:pPr>
      <w:r>
        <w:rPr>
          <w:sz w:val="24"/>
        </w:rPr>
        <w:t xml:space="preserve">2) страховой медицинской организации (филиале/представительстве страховой медицинской организации);</w:t>
      </w:r>
    </w:p>
    <w:p>
      <w:pPr>
        <w:pStyle w:val="0"/>
        <w:spacing w:before="240" w:lineRule="auto"/>
        <w:ind w:firstLine="540"/>
        <w:jc w:val="both"/>
      </w:pPr>
      <w:r>
        <w:rPr>
          <w:sz w:val="24"/>
        </w:rPr>
        <w:t xml:space="preserve">3) дате, по состоянию на которую производится сверка расчетов;</w:t>
      </w:r>
    </w:p>
    <w:p>
      <w:pPr>
        <w:pStyle w:val="0"/>
        <w:spacing w:before="240" w:lineRule="auto"/>
        <w:ind w:firstLine="540"/>
        <w:jc w:val="both"/>
      </w:pPr>
      <w:r>
        <w:rPr>
          <w:sz w:val="24"/>
        </w:rPr>
        <w:t xml:space="preserve">4) остатке средств в страховой медицинской организации на начало отчетного периода, в том числе о:</w:t>
      </w:r>
    </w:p>
    <w:p>
      <w:pPr>
        <w:pStyle w:val="0"/>
        <w:spacing w:before="240" w:lineRule="auto"/>
        <w:ind w:firstLine="540"/>
        <w:jc w:val="both"/>
      </w:pPr>
      <w:r>
        <w:rPr>
          <w:sz w:val="24"/>
        </w:rPr>
        <w:t xml:space="preserve">целевых средствах;</w:t>
      </w:r>
    </w:p>
    <w:p>
      <w:pPr>
        <w:pStyle w:val="0"/>
        <w:spacing w:before="240" w:lineRule="auto"/>
        <w:ind w:firstLine="540"/>
        <w:jc w:val="both"/>
      </w:pPr>
      <w:r>
        <w:rPr>
          <w:sz w:val="24"/>
        </w:rPr>
        <w:t xml:space="preserve">средствах, подлежащих направлению в территориальный фонд в соответствии с </w:t>
      </w:r>
      <w:hyperlink w:history="0" r:id="rId164" w:tooltip="Федеральный закон от 29.11.2010 N 326-ФЗ (ред. от 20.02.2026) &quot;Об обязательном медицинском страховании в Российской Федерации&quot; {КонсультантПлюс}">
        <w:r>
          <w:rPr>
            <w:sz w:val="24"/>
            <w:color w:val="0000ff"/>
          </w:rPr>
          <w:t xml:space="preserve">пунктом 2 части 6.3 статьи 26</w:t>
        </w:r>
      </w:hyperlink>
      <w:r>
        <w:rPr>
          <w:sz w:val="24"/>
        </w:rPr>
        <w:t xml:space="preserve"> Федерального закона;</w:t>
      </w:r>
    </w:p>
    <w:p>
      <w:pPr>
        <w:pStyle w:val="0"/>
        <w:spacing w:before="240" w:lineRule="auto"/>
        <w:ind w:firstLine="540"/>
        <w:jc w:val="both"/>
      </w:pPr>
      <w:r>
        <w:rPr>
          <w:sz w:val="24"/>
        </w:rPr>
        <w:t xml:space="preserve">собственных средствах;</w:t>
      </w:r>
    </w:p>
    <w:p>
      <w:pPr>
        <w:pStyle w:val="0"/>
        <w:spacing w:before="240" w:lineRule="auto"/>
        <w:ind w:firstLine="540"/>
        <w:jc w:val="both"/>
      </w:pPr>
      <w:r>
        <w:rPr>
          <w:sz w:val="24"/>
        </w:rPr>
        <w:t xml:space="preserve">средствах, поступивших от юридических и физических лиц, причинивших вред здоровью застрахованных лиц, в пределах суммы, затраченной на оплату медицинской помощи;</w:t>
      </w:r>
    </w:p>
    <w:p>
      <w:pPr>
        <w:pStyle w:val="0"/>
        <w:spacing w:before="240" w:lineRule="auto"/>
        <w:ind w:firstLine="540"/>
        <w:jc w:val="both"/>
      </w:pPr>
      <w:r>
        <w:rPr>
          <w:sz w:val="24"/>
        </w:rPr>
        <w:t xml:space="preserve">5) задолженности территориального фонда перед страховой медицинской организацией на начало отчетного месяца, в том числе по:</w:t>
      </w:r>
    </w:p>
    <w:p>
      <w:pPr>
        <w:pStyle w:val="0"/>
        <w:spacing w:before="240" w:lineRule="auto"/>
        <w:ind w:firstLine="540"/>
        <w:jc w:val="both"/>
      </w:pPr>
      <w:r>
        <w:rPr>
          <w:sz w:val="24"/>
        </w:rPr>
        <w:t xml:space="preserve">финансированию по дифференцированным подушевым нормативам;</w:t>
      </w:r>
    </w:p>
    <w:p>
      <w:pPr>
        <w:pStyle w:val="0"/>
        <w:spacing w:before="240" w:lineRule="auto"/>
        <w:ind w:firstLine="540"/>
        <w:jc w:val="both"/>
      </w:pPr>
      <w:r>
        <w:rPr>
          <w:sz w:val="24"/>
        </w:rPr>
        <w:t xml:space="preserve">средствам нормированного страхового запаса;</w:t>
      </w:r>
    </w:p>
    <w:p>
      <w:pPr>
        <w:pStyle w:val="0"/>
        <w:spacing w:before="240" w:lineRule="auto"/>
        <w:ind w:firstLine="540"/>
        <w:jc w:val="both"/>
      </w:pPr>
      <w:r>
        <w:rPr>
          <w:sz w:val="24"/>
        </w:rPr>
        <w:t xml:space="preserve">средствам на ведение дела;</w:t>
      </w:r>
    </w:p>
    <w:p>
      <w:pPr>
        <w:pStyle w:val="0"/>
        <w:spacing w:before="240" w:lineRule="auto"/>
        <w:ind w:firstLine="540"/>
        <w:jc w:val="both"/>
      </w:pPr>
      <w:r>
        <w:rPr>
          <w:sz w:val="24"/>
        </w:rPr>
        <w:t xml:space="preserve">6) задолженности страховой медицинской организации перед территориальным фондом на начало отчетного месяца по:</w:t>
      </w:r>
    </w:p>
    <w:p>
      <w:pPr>
        <w:pStyle w:val="0"/>
        <w:spacing w:before="240" w:lineRule="auto"/>
        <w:ind w:firstLine="540"/>
        <w:jc w:val="both"/>
      </w:pPr>
      <w:r>
        <w:rPr>
          <w:sz w:val="24"/>
        </w:rPr>
        <w:t xml:space="preserve">целевым средствам, подлежащим возврату в территориальный фонд в соответствии с </w:t>
      </w:r>
      <w:hyperlink w:history="0" w:anchor="P678" w:tooltip="171. Остаток целевых средств, возвращенный в территориальный фонд, может быть заявлен страховой медицинской организацией для оплаты медицинской помощи в последующие периоды в случае превышения для данной страховой медицинской организации в отчетном месяце фактического объема целевых средств на оплату медицинской помощи над объемом целевых средств для оплаты медицинской помощи, определенным с учетом дифференцированных подушевых нормативов. Средства, предназначенные на расходы на ведение дела, с указанных ...">
        <w:r>
          <w:rPr>
            <w:sz w:val="24"/>
            <w:color w:val="0000ff"/>
          </w:rPr>
          <w:t xml:space="preserve">пунктом 171</w:t>
        </w:r>
      </w:hyperlink>
      <w:r>
        <w:rPr>
          <w:sz w:val="24"/>
        </w:rPr>
        <w:t xml:space="preserve"> настоящих Правил;</w:t>
      </w:r>
    </w:p>
    <w:p>
      <w:pPr>
        <w:pStyle w:val="0"/>
        <w:spacing w:before="240" w:lineRule="auto"/>
        <w:ind w:firstLine="540"/>
        <w:jc w:val="both"/>
      </w:pPr>
      <w:r>
        <w:rPr>
          <w:sz w:val="24"/>
        </w:rPr>
        <w:t xml:space="preserve">средствам от применения страховыми медицинскими организациями к медицинским организациям санкций за нарушения, выявленные при проведении контроля объемов, сроков, качества и условий предоставления медицинской помощи;</w:t>
      </w:r>
    </w:p>
    <w:p>
      <w:pPr>
        <w:pStyle w:val="0"/>
        <w:spacing w:before="240" w:lineRule="auto"/>
        <w:ind w:firstLine="540"/>
        <w:jc w:val="both"/>
      </w:pPr>
      <w:r>
        <w:rPr>
          <w:sz w:val="24"/>
        </w:rPr>
        <w:t xml:space="preserve">средствам авансирования медицинских организаций, не обеспеченных выставленными счетами на оплату медицинской помощи, по которым не осуществлен возврат территориальный фонд;</w:t>
      </w:r>
    </w:p>
    <w:p>
      <w:pPr>
        <w:pStyle w:val="0"/>
        <w:spacing w:before="240" w:lineRule="auto"/>
        <w:ind w:firstLine="540"/>
        <w:jc w:val="both"/>
      </w:pPr>
      <w:r>
        <w:rPr>
          <w:sz w:val="24"/>
        </w:rPr>
        <w:t xml:space="preserve">штрафам и пеням за нарушение договорных обязательств по договору о финансовом обеспечении обязательного медицинского страхования;</w:t>
      </w:r>
    </w:p>
    <w:p>
      <w:pPr>
        <w:pStyle w:val="0"/>
        <w:spacing w:before="240" w:lineRule="auto"/>
        <w:ind w:firstLine="540"/>
        <w:jc w:val="both"/>
      </w:pPr>
      <w:r>
        <w:rPr>
          <w:sz w:val="24"/>
        </w:rPr>
        <w:t xml:space="preserve">возмещению средств обязательного медицинского страхования, использованных страховой медицинской организацией не по целевому назначению;</w:t>
      </w:r>
    </w:p>
    <w:p>
      <w:pPr>
        <w:pStyle w:val="0"/>
        <w:spacing w:before="240" w:lineRule="auto"/>
        <w:ind w:firstLine="540"/>
        <w:jc w:val="both"/>
      </w:pPr>
      <w:r>
        <w:rPr>
          <w:sz w:val="24"/>
        </w:rPr>
        <w:t xml:space="preserve">7) объеме средств, подлежащих перечислению в страховую медицинскую организацию в отчетном месяце всего, в том числе:</w:t>
      </w:r>
    </w:p>
    <w:p>
      <w:pPr>
        <w:pStyle w:val="0"/>
        <w:spacing w:before="240" w:lineRule="auto"/>
        <w:ind w:firstLine="540"/>
        <w:jc w:val="both"/>
      </w:pPr>
      <w:r>
        <w:rPr>
          <w:sz w:val="24"/>
        </w:rPr>
        <w:t xml:space="preserve">по дифференцированным подушевым нормативам, в том числе по заявке на авансирование и заявке на получение средств на оплату счетов;</w:t>
      </w:r>
    </w:p>
    <w:p>
      <w:pPr>
        <w:pStyle w:val="0"/>
        <w:spacing w:before="240" w:lineRule="auto"/>
        <w:ind w:firstLine="540"/>
        <w:jc w:val="both"/>
      </w:pPr>
      <w:r>
        <w:rPr>
          <w:sz w:val="24"/>
        </w:rPr>
        <w:t xml:space="preserve">из средств нормированного страхового запаса;</w:t>
      </w:r>
    </w:p>
    <w:p>
      <w:pPr>
        <w:pStyle w:val="0"/>
        <w:spacing w:before="240" w:lineRule="auto"/>
        <w:ind w:firstLine="540"/>
        <w:jc w:val="both"/>
      </w:pPr>
      <w:r>
        <w:rPr>
          <w:sz w:val="24"/>
        </w:rPr>
        <w:t xml:space="preserve">за счет остатка целевых средств, возвращенных в территориальный фонд в предыдущие периоды;</w:t>
      </w:r>
    </w:p>
    <w:p>
      <w:pPr>
        <w:pStyle w:val="0"/>
        <w:spacing w:before="240" w:lineRule="auto"/>
        <w:ind w:firstLine="540"/>
        <w:jc w:val="both"/>
      </w:pPr>
      <w:r>
        <w:rPr>
          <w:sz w:val="24"/>
        </w:rPr>
        <w:t xml:space="preserve">на ведение дела;</w:t>
      </w:r>
    </w:p>
    <w:p>
      <w:pPr>
        <w:pStyle w:val="0"/>
        <w:spacing w:before="240" w:lineRule="auto"/>
        <w:ind w:firstLine="540"/>
        <w:jc w:val="both"/>
      </w:pPr>
      <w:r>
        <w:rPr>
          <w:sz w:val="24"/>
        </w:rPr>
        <w:t xml:space="preserve">8) объеме поступивших в страховую медицинскую организацию средств от территориального фонда всего, в том числе:</w:t>
      </w:r>
    </w:p>
    <w:p>
      <w:pPr>
        <w:pStyle w:val="0"/>
        <w:spacing w:before="240" w:lineRule="auto"/>
        <w:ind w:firstLine="540"/>
        <w:jc w:val="both"/>
      </w:pPr>
      <w:r>
        <w:rPr>
          <w:sz w:val="24"/>
        </w:rPr>
        <w:t xml:space="preserve">по дифференцированным подушевым нормативам, в том числе по заявке на авансирование и заявке на получение средств на оплату счетов;</w:t>
      </w:r>
    </w:p>
    <w:p>
      <w:pPr>
        <w:pStyle w:val="0"/>
        <w:spacing w:before="240" w:lineRule="auto"/>
        <w:ind w:firstLine="540"/>
        <w:jc w:val="both"/>
      </w:pPr>
      <w:r>
        <w:rPr>
          <w:sz w:val="24"/>
        </w:rPr>
        <w:t xml:space="preserve">за счет остатка целевых средств, возвращенных в территориальный фонд в предыдущие периоды;</w:t>
      </w:r>
    </w:p>
    <w:p>
      <w:pPr>
        <w:pStyle w:val="0"/>
        <w:spacing w:before="240" w:lineRule="auto"/>
        <w:ind w:firstLine="540"/>
        <w:jc w:val="both"/>
      </w:pPr>
      <w:r>
        <w:rPr>
          <w:sz w:val="24"/>
        </w:rPr>
        <w:t xml:space="preserve">из средств нормированного страхового запаса;</w:t>
      </w:r>
    </w:p>
    <w:p>
      <w:pPr>
        <w:pStyle w:val="0"/>
        <w:spacing w:before="240" w:lineRule="auto"/>
        <w:ind w:firstLine="540"/>
        <w:jc w:val="both"/>
      </w:pPr>
      <w:r>
        <w:rPr>
          <w:sz w:val="24"/>
        </w:rPr>
        <w:t xml:space="preserve">на ведение дела;</w:t>
      </w:r>
    </w:p>
    <w:p>
      <w:pPr>
        <w:pStyle w:val="0"/>
        <w:spacing w:before="240" w:lineRule="auto"/>
        <w:ind w:firstLine="540"/>
        <w:jc w:val="both"/>
      </w:pPr>
      <w:r>
        <w:rPr>
          <w:sz w:val="24"/>
        </w:rPr>
        <w:t xml:space="preserve">9) средствах, поступивших в страховую медицинскую организацию от юридических или физических лиц, причинивших вред здоровью застрахованных лиц в размере, не превышающем размер оплаты оказанной медицинской помощи;</w:t>
      </w:r>
    </w:p>
    <w:p>
      <w:pPr>
        <w:pStyle w:val="0"/>
        <w:spacing w:before="240" w:lineRule="auto"/>
        <w:ind w:firstLine="540"/>
        <w:jc w:val="both"/>
      </w:pPr>
      <w:r>
        <w:rPr>
          <w:sz w:val="24"/>
        </w:rPr>
        <w:t xml:space="preserve">10) средствах, поступивших в страховую медицинскую организацию от медицинских организаций, в том числе:</w:t>
      </w:r>
    </w:p>
    <w:p>
      <w:pPr>
        <w:pStyle w:val="0"/>
        <w:spacing w:before="240" w:lineRule="auto"/>
        <w:ind w:firstLine="540"/>
        <w:jc w:val="both"/>
      </w:pPr>
      <w:r>
        <w:rPr>
          <w:sz w:val="24"/>
        </w:rPr>
        <w:t xml:space="preserve">средств от возврата авансов, не обеспеченных выставленными счетами на оплату медицинской помощи;</w:t>
      </w:r>
    </w:p>
    <w:p>
      <w:pPr>
        <w:pStyle w:val="0"/>
        <w:spacing w:before="240" w:lineRule="auto"/>
        <w:ind w:firstLine="540"/>
        <w:jc w:val="both"/>
      </w:pPr>
      <w:r>
        <w:rPr>
          <w:sz w:val="24"/>
        </w:rPr>
        <w:t xml:space="preserve">оплаты медицинскими организациями санкций в связи с принятием к ним мер по результатам контроля объемов, сроков, качества и условий предоставления медицинской помощи:</w:t>
      </w:r>
    </w:p>
    <w:p>
      <w:pPr>
        <w:pStyle w:val="0"/>
        <w:spacing w:before="240" w:lineRule="auto"/>
        <w:ind w:firstLine="540"/>
        <w:jc w:val="both"/>
      </w:pPr>
      <w:r>
        <w:rPr>
          <w:sz w:val="24"/>
        </w:rPr>
        <w:t xml:space="preserve">медико-экономического контроля;</w:t>
      </w:r>
    </w:p>
    <w:p>
      <w:pPr>
        <w:pStyle w:val="0"/>
        <w:spacing w:before="240" w:lineRule="auto"/>
        <w:ind w:firstLine="540"/>
        <w:jc w:val="both"/>
      </w:pPr>
      <w:r>
        <w:rPr>
          <w:sz w:val="24"/>
        </w:rPr>
        <w:t xml:space="preserve">медико-экономической экспертизы;</w:t>
      </w:r>
    </w:p>
    <w:p>
      <w:pPr>
        <w:pStyle w:val="0"/>
        <w:spacing w:before="240" w:lineRule="auto"/>
        <w:ind w:firstLine="540"/>
        <w:jc w:val="both"/>
      </w:pPr>
      <w:r>
        <w:rPr>
          <w:sz w:val="24"/>
        </w:rPr>
        <w:t xml:space="preserve">экспертизы качества медицинской помощи;</w:t>
      </w:r>
    </w:p>
    <w:p>
      <w:pPr>
        <w:pStyle w:val="0"/>
        <w:spacing w:before="240" w:lineRule="auto"/>
        <w:ind w:firstLine="540"/>
        <w:jc w:val="both"/>
      </w:pPr>
      <w:r>
        <w:rPr>
          <w:sz w:val="24"/>
        </w:rPr>
        <w:t xml:space="preserve">штрафов и пеней в связи с нарушением медицинскими организациями условий договора на оказание и оплату медицинской помощи по обязательному медицинскому страхованию;</w:t>
      </w:r>
    </w:p>
    <w:p>
      <w:pPr>
        <w:pStyle w:val="0"/>
        <w:spacing w:before="240" w:lineRule="auto"/>
        <w:ind w:firstLine="540"/>
        <w:jc w:val="both"/>
      </w:pPr>
      <w:r>
        <w:rPr>
          <w:sz w:val="24"/>
        </w:rPr>
        <w:t xml:space="preserve">11) общей сумме средств, принятой к оплате по счетам на оплату медицинской помощи за оказанную медицинскую помощь в отчетном месяце, в соответствии с договорами на оказание и оплату медицинской помощи по обязательному медицинскому страхованию;</w:t>
      </w:r>
    </w:p>
    <w:p>
      <w:pPr>
        <w:pStyle w:val="0"/>
        <w:spacing w:before="240" w:lineRule="auto"/>
        <w:ind w:firstLine="540"/>
        <w:jc w:val="both"/>
      </w:pPr>
      <w:r>
        <w:rPr>
          <w:sz w:val="24"/>
        </w:rPr>
        <w:t xml:space="preserve">12) средствах, начисленных от применения к медицинским организациям санкций по результатам контроля объемов, сроков, качества и условий предоставления медицинской помощи, всего, в том числе:</w:t>
      </w:r>
    </w:p>
    <w:p>
      <w:pPr>
        <w:pStyle w:val="0"/>
        <w:spacing w:before="240" w:lineRule="auto"/>
        <w:ind w:firstLine="540"/>
        <w:jc w:val="both"/>
      </w:pPr>
      <w:r>
        <w:rPr>
          <w:sz w:val="24"/>
        </w:rPr>
        <w:t xml:space="preserve">по результатам медико-экономического контроля;</w:t>
      </w:r>
    </w:p>
    <w:p>
      <w:pPr>
        <w:pStyle w:val="0"/>
        <w:spacing w:before="240" w:lineRule="auto"/>
        <w:ind w:firstLine="540"/>
        <w:jc w:val="both"/>
      </w:pPr>
      <w:r>
        <w:rPr>
          <w:sz w:val="24"/>
        </w:rPr>
        <w:t xml:space="preserve">по результатам медико-экономической экспертизы;</w:t>
      </w:r>
    </w:p>
    <w:p>
      <w:pPr>
        <w:pStyle w:val="0"/>
        <w:spacing w:before="240" w:lineRule="auto"/>
        <w:ind w:firstLine="540"/>
        <w:jc w:val="both"/>
      </w:pPr>
      <w:r>
        <w:rPr>
          <w:sz w:val="24"/>
        </w:rPr>
        <w:t xml:space="preserve">по результатам экспертизы качества медицинской помощи;</w:t>
      </w:r>
    </w:p>
    <w:p>
      <w:pPr>
        <w:pStyle w:val="0"/>
        <w:spacing w:before="240" w:lineRule="auto"/>
        <w:ind w:firstLine="540"/>
        <w:jc w:val="both"/>
      </w:pPr>
      <w:r>
        <w:rPr>
          <w:sz w:val="24"/>
        </w:rPr>
        <w:t xml:space="preserve">13) средствах, полученных от применения к медицинским организациям санкций по результатам контроля объемов, сроков, качества и условий предоставления медицинской помощи, всего, в том числе о/об:</w:t>
      </w:r>
    </w:p>
    <w:p>
      <w:pPr>
        <w:pStyle w:val="0"/>
        <w:spacing w:before="240" w:lineRule="auto"/>
        <w:ind w:firstLine="540"/>
        <w:jc w:val="both"/>
      </w:pPr>
      <w:r>
        <w:rPr>
          <w:sz w:val="24"/>
        </w:rPr>
        <w:t xml:space="preserve">удержанных по результатам медико-экономического контроля;</w:t>
      </w:r>
    </w:p>
    <w:p>
      <w:pPr>
        <w:pStyle w:val="0"/>
        <w:spacing w:before="240" w:lineRule="auto"/>
        <w:ind w:firstLine="540"/>
        <w:jc w:val="both"/>
      </w:pPr>
      <w:r>
        <w:rPr>
          <w:sz w:val="24"/>
        </w:rPr>
        <w:t xml:space="preserve">удержанных по результатам медико-экономической экспертизы;</w:t>
      </w:r>
    </w:p>
    <w:p>
      <w:pPr>
        <w:pStyle w:val="0"/>
        <w:spacing w:before="240" w:lineRule="auto"/>
        <w:ind w:firstLine="540"/>
        <w:jc w:val="both"/>
      </w:pPr>
      <w:r>
        <w:rPr>
          <w:sz w:val="24"/>
        </w:rPr>
        <w:t xml:space="preserve">удержанных по результатам экспертизы качества медицинской помощи;</w:t>
      </w:r>
    </w:p>
    <w:p>
      <w:pPr>
        <w:pStyle w:val="0"/>
        <w:spacing w:before="240" w:lineRule="auto"/>
        <w:ind w:firstLine="540"/>
        <w:jc w:val="both"/>
      </w:pPr>
      <w:r>
        <w:rPr>
          <w:sz w:val="24"/>
        </w:rPr>
        <w:t xml:space="preserve">перечисленных штрафах за неоказание, несвоевременное оказание либо оказание медицинской помощи ненадлежащего качества;</w:t>
      </w:r>
    </w:p>
    <w:p>
      <w:pPr>
        <w:pStyle w:val="0"/>
        <w:spacing w:before="240" w:lineRule="auto"/>
        <w:ind w:firstLine="540"/>
        <w:jc w:val="both"/>
      </w:pPr>
      <w:r>
        <w:rPr>
          <w:sz w:val="24"/>
        </w:rPr>
        <w:t xml:space="preserve">14) средствах, подлежащих перечислению в территориальный фонд в соответствии с </w:t>
      </w:r>
      <w:hyperlink w:history="0" r:id="rId165" w:tooltip="Федеральный закон от 29.11.2010 N 326-ФЗ (ред. от 20.02.2026) &quot;Об обязательном медицинском страховании в Российской Федерации&quot; {КонсультантПлюс}">
        <w:r>
          <w:rPr>
            <w:sz w:val="24"/>
            <w:color w:val="0000ff"/>
          </w:rPr>
          <w:t xml:space="preserve">пунктом 2 части 6.3 статьи 26</w:t>
        </w:r>
      </w:hyperlink>
      <w:r>
        <w:rPr>
          <w:sz w:val="24"/>
        </w:rPr>
        <w:t xml:space="preserve"> Федерального закона;</w:t>
      </w:r>
    </w:p>
    <w:p>
      <w:pPr>
        <w:pStyle w:val="0"/>
        <w:spacing w:before="240" w:lineRule="auto"/>
        <w:ind w:firstLine="540"/>
        <w:jc w:val="both"/>
      </w:pPr>
      <w:r>
        <w:rPr>
          <w:sz w:val="24"/>
        </w:rPr>
        <w:t xml:space="preserve">15) средствах, перечисленных в территориальный фонд в соответствии с </w:t>
      </w:r>
      <w:hyperlink w:history="0" r:id="rId166" w:tooltip="Федеральный закон от 29.11.2010 N 326-ФЗ (ред. от 20.02.2026) &quot;Об обязательном медицинском страховании в Российской Федерации&quot; {КонсультантПлюс}">
        <w:r>
          <w:rPr>
            <w:sz w:val="24"/>
            <w:color w:val="0000ff"/>
          </w:rPr>
          <w:t xml:space="preserve">пунктом 2 части 6.3 статьи 26</w:t>
        </w:r>
      </w:hyperlink>
      <w:r>
        <w:rPr>
          <w:sz w:val="24"/>
        </w:rPr>
        <w:t xml:space="preserve"> Федерального закона;</w:t>
      </w:r>
    </w:p>
    <w:p>
      <w:pPr>
        <w:pStyle w:val="0"/>
        <w:spacing w:before="240" w:lineRule="auto"/>
        <w:ind w:firstLine="540"/>
        <w:jc w:val="both"/>
      </w:pPr>
      <w:r>
        <w:rPr>
          <w:sz w:val="24"/>
        </w:rPr>
        <w:t xml:space="preserve">16) средствах, направленных на оплату медицинской помощи в соответствии с договорами на оказание и оплату медицинской помощи по обязательному медицинскому страхованию, всего, в том числе:</w:t>
      </w:r>
    </w:p>
    <w:p>
      <w:pPr>
        <w:pStyle w:val="0"/>
        <w:spacing w:before="240" w:lineRule="auto"/>
        <w:ind w:firstLine="540"/>
        <w:jc w:val="both"/>
      </w:pPr>
      <w:r>
        <w:rPr>
          <w:sz w:val="24"/>
        </w:rPr>
        <w:t xml:space="preserve">средствах авансирования, перечисленных медицинским организациям по заявкам на авансирование;</w:t>
      </w:r>
    </w:p>
    <w:p>
      <w:pPr>
        <w:pStyle w:val="0"/>
        <w:spacing w:before="240" w:lineRule="auto"/>
        <w:ind w:firstLine="540"/>
        <w:jc w:val="both"/>
      </w:pPr>
      <w:r>
        <w:rPr>
          <w:sz w:val="24"/>
        </w:rPr>
        <w:t xml:space="preserve">средствах на оплату медицинской помощи по счетам на оплату медицинской помощи;</w:t>
      </w:r>
    </w:p>
    <w:p>
      <w:pPr>
        <w:pStyle w:val="0"/>
        <w:spacing w:before="240" w:lineRule="auto"/>
        <w:ind w:firstLine="540"/>
        <w:jc w:val="both"/>
      </w:pPr>
      <w:r>
        <w:rPr>
          <w:sz w:val="24"/>
        </w:rPr>
        <w:t xml:space="preserve">17) сумме задолженности медицинских организаций, подлежащей списанию в соответствии с решениями, принятыми в соответствии с законодательством Российской Федерации;</w:t>
      </w:r>
    </w:p>
    <w:p>
      <w:pPr>
        <w:pStyle w:val="0"/>
        <w:spacing w:before="240" w:lineRule="auto"/>
        <w:ind w:firstLine="540"/>
        <w:jc w:val="both"/>
      </w:pPr>
      <w:r>
        <w:rPr>
          <w:sz w:val="24"/>
        </w:rPr>
        <w:t xml:space="preserve">18) сумме задолженности медицинских организаций, списанной в соответствии с решениями, принятыми в соответствии с законодательством Российской Федерации;</w:t>
      </w:r>
    </w:p>
    <w:p>
      <w:pPr>
        <w:pStyle w:val="0"/>
        <w:spacing w:before="240" w:lineRule="auto"/>
        <w:ind w:firstLine="540"/>
        <w:jc w:val="both"/>
      </w:pPr>
      <w:r>
        <w:rPr>
          <w:sz w:val="24"/>
        </w:rPr>
        <w:t xml:space="preserve">19) сумме, подлежащей перечислению в медицинские организации, в соответствии с решениями, принятыми в соответствии с законодательством Российской Федерации;</w:t>
      </w:r>
    </w:p>
    <w:p>
      <w:pPr>
        <w:pStyle w:val="0"/>
        <w:spacing w:before="240" w:lineRule="auto"/>
        <w:ind w:firstLine="540"/>
        <w:jc w:val="both"/>
      </w:pPr>
      <w:r>
        <w:rPr>
          <w:sz w:val="24"/>
        </w:rPr>
        <w:t xml:space="preserve">20) сумме, перечисленной в медицинские организации, в соответствии с решениями, принятыми в соответствии с законодательством Российской Федерации;</w:t>
      </w:r>
    </w:p>
    <w:p>
      <w:pPr>
        <w:pStyle w:val="0"/>
        <w:spacing w:before="240" w:lineRule="auto"/>
        <w:ind w:firstLine="540"/>
        <w:jc w:val="both"/>
      </w:pPr>
      <w:r>
        <w:rPr>
          <w:sz w:val="24"/>
        </w:rPr>
        <w:t xml:space="preserve">21) штрафах и пенях, начисленных страховой медицинской организации за нарушение договорных обязательств по договору о финансовом обеспечении обязательного медицинского страхования;</w:t>
      </w:r>
    </w:p>
    <w:p>
      <w:pPr>
        <w:pStyle w:val="0"/>
        <w:spacing w:before="240" w:lineRule="auto"/>
        <w:ind w:firstLine="540"/>
        <w:jc w:val="both"/>
      </w:pPr>
      <w:r>
        <w:rPr>
          <w:sz w:val="24"/>
        </w:rPr>
        <w:t xml:space="preserve">22) штрафах и пенях, уплаченных страховой медицинской организации в связи с нарушением обязательств по договорам на оказание и оплату медицинской помощи по обязательному медицинскому страхованию;</w:t>
      </w:r>
    </w:p>
    <w:p>
      <w:pPr>
        <w:pStyle w:val="0"/>
        <w:spacing w:before="240" w:lineRule="auto"/>
        <w:ind w:firstLine="540"/>
        <w:jc w:val="both"/>
      </w:pPr>
      <w:r>
        <w:rPr>
          <w:sz w:val="24"/>
        </w:rPr>
        <w:t xml:space="preserve">23) средствах, подлежащих возмещению страховой медицинской организацией в связи с использованием средств обязательного медицинского страхования не по целевому назначению;</w:t>
      </w:r>
    </w:p>
    <w:p>
      <w:pPr>
        <w:pStyle w:val="0"/>
        <w:spacing w:before="240" w:lineRule="auto"/>
        <w:ind w:firstLine="540"/>
        <w:jc w:val="both"/>
      </w:pPr>
      <w:r>
        <w:rPr>
          <w:sz w:val="24"/>
        </w:rPr>
        <w:t xml:space="preserve">24) собственных средствах, сформированных страховой медицинской организацией, в том числе средствах:</w:t>
      </w:r>
    </w:p>
    <w:p>
      <w:pPr>
        <w:pStyle w:val="0"/>
        <w:spacing w:before="240" w:lineRule="auto"/>
        <w:ind w:firstLine="540"/>
        <w:jc w:val="both"/>
      </w:pPr>
      <w:r>
        <w:rPr>
          <w:sz w:val="24"/>
        </w:rPr>
        <w:t xml:space="preserve">предназначенных на расходы на ведение дела страховой медицинской организации;</w:t>
      </w:r>
    </w:p>
    <w:p>
      <w:pPr>
        <w:pStyle w:val="0"/>
        <w:spacing w:before="240" w:lineRule="auto"/>
        <w:ind w:firstLine="540"/>
        <w:jc w:val="both"/>
      </w:pPr>
      <w:r>
        <w:rPr>
          <w:sz w:val="24"/>
        </w:rPr>
        <w:t xml:space="preserve">сформированных по результатам проведения медико-экономической экспертизы;</w:t>
      </w:r>
    </w:p>
    <w:p>
      <w:pPr>
        <w:pStyle w:val="0"/>
        <w:spacing w:before="240" w:lineRule="auto"/>
        <w:ind w:firstLine="540"/>
        <w:jc w:val="both"/>
      </w:pPr>
      <w:r>
        <w:rPr>
          <w:sz w:val="24"/>
        </w:rPr>
        <w:t xml:space="preserve">сформированных по результатам проведения экспертизы качества медицинской помощи;</w:t>
      </w:r>
    </w:p>
    <w:p>
      <w:pPr>
        <w:pStyle w:val="0"/>
        <w:spacing w:before="240" w:lineRule="auto"/>
        <w:ind w:firstLine="540"/>
        <w:jc w:val="both"/>
      </w:pPr>
      <w:r>
        <w:rPr>
          <w:sz w:val="24"/>
        </w:rPr>
        <w:t xml:space="preserve">сформированных по результатам уплаты медицинской организацией штрафов за неоказание, несвоевременное оказание либо оказание медицинской помощи ненадлежащего качества;</w:t>
      </w:r>
    </w:p>
    <w:p>
      <w:pPr>
        <w:pStyle w:val="0"/>
        <w:spacing w:before="240" w:lineRule="auto"/>
        <w:ind w:firstLine="540"/>
        <w:jc w:val="both"/>
      </w:pPr>
      <w:r>
        <w:rPr>
          <w:sz w:val="24"/>
        </w:rPr>
        <w:t xml:space="preserve">поступивших от юридических или физических лиц, причинивших вред здоровью застрахованных лиц, сверх сумм, затраченных на оплату медицинской помощи;</w:t>
      </w:r>
    </w:p>
    <w:p>
      <w:pPr>
        <w:pStyle w:val="0"/>
        <w:spacing w:before="240" w:lineRule="auto"/>
        <w:ind w:firstLine="540"/>
        <w:jc w:val="both"/>
      </w:pPr>
      <w:r>
        <w:rPr>
          <w:sz w:val="24"/>
        </w:rPr>
        <w:t xml:space="preserve">сумм пени, поступивших от медицинских организаций за несвоевременный возврат средств, подлежащих возврату в страховую медицинскую организацию по результатам применения согласно </w:t>
      </w:r>
      <w:hyperlink w:history="0" r:id="rId167" w:tooltip="Федеральный закон от 29.11.2010 N 326-ФЗ (ред. от 20.02.2026) &quot;Об обязательном медицинском страховании в Российской Федерации&quot; {КонсультантПлюс}">
        <w:r>
          <w:rPr>
            <w:sz w:val="24"/>
            <w:color w:val="0000ff"/>
          </w:rPr>
          <w:t xml:space="preserve">статье 41</w:t>
        </w:r>
      </w:hyperlink>
      <w:r>
        <w:rPr>
          <w:sz w:val="24"/>
        </w:rPr>
        <w:t xml:space="preserve"> Федерального закона к медицинской организации мер по результатам контроля объемов, сроков, качества и условий предоставления медицинской помощи, в случае невозможности удержания указанных средств при оплате медицинской помощи по территориальной программе;</w:t>
      </w:r>
    </w:p>
    <w:p>
      <w:pPr>
        <w:pStyle w:val="0"/>
        <w:spacing w:before="240" w:lineRule="auto"/>
        <w:ind w:firstLine="540"/>
        <w:jc w:val="both"/>
      </w:pPr>
      <w:r>
        <w:rPr>
          <w:sz w:val="24"/>
        </w:rPr>
        <w:t xml:space="preserve">25) средствах, перечисленных страховой медицинской организацией в территориальный фонд в отчетном месяце всего, в том числе:</w:t>
      </w:r>
    </w:p>
    <w:p>
      <w:pPr>
        <w:pStyle w:val="0"/>
        <w:spacing w:before="240" w:lineRule="auto"/>
        <w:ind w:firstLine="540"/>
        <w:jc w:val="both"/>
      </w:pPr>
      <w:r>
        <w:rPr>
          <w:sz w:val="24"/>
        </w:rPr>
        <w:t xml:space="preserve">остатке целевых средств по заявке на получение средств на оплату счетов, возвращенном в территориальный фонд;</w:t>
      </w:r>
    </w:p>
    <w:p>
      <w:pPr>
        <w:pStyle w:val="0"/>
        <w:spacing w:before="240" w:lineRule="auto"/>
        <w:ind w:firstLine="540"/>
        <w:jc w:val="both"/>
      </w:pPr>
      <w:r>
        <w:rPr>
          <w:sz w:val="24"/>
        </w:rPr>
        <w:t xml:space="preserve">штрафах и пенях за нарушение договорных обязательств по договору о финансовом обеспечении обязательного медицинского страхования;</w:t>
      </w:r>
    </w:p>
    <w:p>
      <w:pPr>
        <w:pStyle w:val="0"/>
        <w:spacing w:before="240" w:lineRule="auto"/>
        <w:ind w:firstLine="540"/>
        <w:jc w:val="both"/>
      </w:pPr>
      <w:r>
        <w:rPr>
          <w:sz w:val="24"/>
        </w:rPr>
        <w:t xml:space="preserve">средствах, подлежащих возмещению страховой медицинской организацией в связи с использованием средств обязательного медицинского страхования не по целевому назначению;</w:t>
      </w:r>
    </w:p>
    <w:p>
      <w:pPr>
        <w:pStyle w:val="0"/>
        <w:spacing w:before="240" w:lineRule="auto"/>
        <w:ind w:firstLine="540"/>
        <w:jc w:val="both"/>
      </w:pPr>
      <w:r>
        <w:rPr>
          <w:sz w:val="24"/>
        </w:rPr>
        <w:t xml:space="preserve">средствах, перечисленных в территориальный фонд в соответствии с </w:t>
      </w:r>
      <w:hyperlink w:history="0" r:id="rId168" w:tooltip="Федеральный закон от 29.11.2010 N 326-ФЗ (ред. от 20.02.2026) &quot;Об обязательном медицинском страховании в Российской Федерации&quot; {КонсультантПлюс}">
        <w:r>
          <w:rPr>
            <w:sz w:val="24"/>
            <w:color w:val="0000ff"/>
          </w:rPr>
          <w:t xml:space="preserve">пунктом 2 части 6.3 статьи 26</w:t>
        </w:r>
      </w:hyperlink>
      <w:r>
        <w:rPr>
          <w:sz w:val="24"/>
        </w:rPr>
        <w:t xml:space="preserve"> Федерального закона;</w:t>
      </w:r>
    </w:p>
    <w:p>
      <w:pPr>
        <w:pStyle w:val="0"/>
        <w:spacing w:before="240" w:lineRule="auto"/>
        <w:ind w:firstLine="540"/>
        <w:jc w:val="both"/>
      </w:pPr>
      <w:r>
        <w:rPr>
          <w:sz w:val="24"/>
        </w:rPr>
        <w:t xml:space="preserve">26) задолженности территориального фонда перед страховой медицинской организацией на конец отчетного месяца всего, в том числе по:</w:t>
      </w:r>
    </w:p>
    <w:p>
      <w:pPr>
        <w:pStyle w:val="0"/>
        <w:spacing w:before="240" w:lineRule="auto"/>
        <w:ind w:firstLine="540"/>
        <w:jc w:val="both"/>
      </w:pPr>
      <w:r>
        <w:rPr>
          <w:sz w:val="24"/>
        </w:rPr>
        <w:t xml:space="preserve">дифференцированным подушевым нормативам, исчисляемой, начиная с четвертого рабочего дня со дня получения от страховой медицинской организации заявки на получение средств на оплату счетов;</w:t>
      </w:r>
    </w:p>
    <w:p>
      <w:pPr>
        <w:pStyle w:val="0"/>
        <w:spacing w:before="240" w:lineRule="auto"/>
        <w:ind w:firstLine="540"/>
        <w:jc w:val="both"/>
      </w:pPr>
      <w:r>
        <w:rPr>
          <w:sz w:val="24"/>
        </w:rPr>
        <w:t xml:space="preserve">средствам из остатка средств, ранее возвращенных в территориальный фонд;</w:t>
      </w:r>
    </w:p>
    <w:p>
      <w:pPr>
        <w:pStyle w:val="0"/>
        <w:spacing w:before="240" w:lineRule="auto"/>
        <w:ind w:firstLine="540"/>
        <w:jc w:val="both"/>
      </w:pPr>
      <w:r>
        <w:rPr>
          <w:sz w:val="24"/>
        </w:rPr>
        <w:t xml:space="preserve">средствам нормированного страхового запаса, исчисляемой, начиная с четвертого рабочего дня со дня окончания проверки, проведенной в соответствии с </w:t>
      </w:r>
      <w:hyperlink w:history="0" w:anchor="P698" w:tooltip="2) проведения проверки в целях установления причин недостатка целевых средств у страховой медицинской организации, включающей подтверждение территориальным фондом увеличения объемов, в том числе связанное с повышенной заболеваемостью, и их финансового обеспечения, включая увеличение тарифов на оплату медицинского помощи, а также количества застрахованных лиц и (или) изменением их структуры по полу и возрасту.">
        <w:r>
          <w:rPr>
            <w:sz w:val="24"/>
            <w:color w:val="0000ff"/>
          </w:rPr>
          <w:t xml:space="preserve">подпунктом 2 пункта 176</w:t>
        </w:r>
      </w:hyperlink>
      <w:r>
        <w:rPr>
          <w:sz w:val="24"/>
        </w:rPr>
        <w:t xml:space="preserve"> настоящих Правил при отсутствии оснований, предусмотренных </w:t>
      </w:r>
      <w:hyperlink w:history="0" r:id="rId169" w:tooltip="Федеральный закон от 29.11.2010 N 326-ФЗ (ред. от 20.02.2026) &quot;Об обязательном медицинском страховании в Российской Федерации&quot; {КонсультантПлюс}">
        <w:r>
          <w:rPr>
            <w:sz w:val="24"/>
            <w:color w:val="0000ff"/>
          </w:rPr>
          <w:t xml:space="preserve">частью 9 статьи 38</w:t>
        </w:r>
      </w:hyperlink>
      <w:r>
        <w:rPr>
          <w:sz w:val="24"/>
        </w:rPr>
        <w:t xml:space="preserve"> Федерального закона;</w:t>
      </w:r>
    </w:p>
    <w:p>
      <w:pPr>
        <w:pStyle w:val="0"/>
        <w:spacing w:before="240" w:lineRule="auto"/>
        <w:ind w:firstLine="540"/>
        <w:jc w:val="both"/>
      </w:pPr>
      <w:r>
        <w:rPr>
          <w:sz w:val="24"/>
        </w:rPr>
        <w:t xml:space="preserve">средствам на ведение дела;</w:t>
      </w:r>
    </w:p>
    <w:p>
      <w:pPr>
        <w:pStyle w:val="0"/>
        <w:spacing w:before="240" w:lineRule="auto"/>
        <w:ind w:firstLine="540"/>
        <w:jc w:val="both"/>
      </w:pPr>
      <w:r>
        <w:rPr>
          <w:sz w:val="24"/>
        </w:rPr>
        <w:t xml:space="preserve">27) задолженности страховой медицинской организации перед территориальным фондом на конец отчетного месяца по:</w:t>
      </w:r>
    </w:p>
    <w:p>
      <w:pPr>
        <w:pStyle w:val="0"/>
        <w:spacing w:before="240" w:lineRule="auto"/>
        <w:ind w:firstLine="540"/>
        <w:jc w:val="both"/>
      </w:pPr>
      <w:r>
        <w:rPr>
          <w:sz w:val="24"/>
        </w:rPr>
        <w:t xml:space="preserve">целевым средствам, подлежащим возврату в территориальный фонд в соответствии с </w:t>
      </w:r>
      <w:hyperlink w:history="0" w:anchor="P678" w:tooltip="171. Остаток целевых средств, возвращенный в территориальный фонд, может быть заявлен страховой медицинской организацией для оплаты медицинской помощи в последующие периоды в случае превышения для данной страховой медицинской организации в отчетном месяце фактического объема целевых средств на оплату медицинской помощи над объемом целевых средств для оплаты медицинской помощи, определенным с учетом дифференцированных подушевых нормативов. Средства, предназначенные на расходы на ведение дела, с указанных ...">
        <w:r>
          <w:rPr>
            <w:sz w:val="24"/>
            <w:color w:val="0000ff"/>
          </w:rPr>
          <w:t xml:space="preserve">пунктом 171</w:t>
        </w:r>
      </w:hyperlink>
      <w:r>
        <w:rPr>
          <w:sz w:val="24"/>
        </w:rPr>
        <w:t xml:space="preserve"> настоящих Правил, исчисляемой, начиная с четвертого рабочего дня после завершения расчетов с медицинскими организациями за отчетный месяц;</w:t>
      </w:r>
    </w:p>
    <w:p>
      <w:pPr>
        <w:pStyle w:val="0"/>
        <w:spacing w:before="240" w:lineRule="auto"/>
        <w:ind w:firstLine="540"/>
        <w:jc w:val="both"/>
      </w:pPr>
      <w:r>
        <w:rPr>
          <w:sz w:val="24"/>
        </w:rPr>
        <w:t xml:space="preserve">средствам от применения страховыми медицинскими организациями к медицинским организациям санкций за нарушения, выявленные при проведении контроля объемов, сроков, качества и условий предоставления медицинской помощи, исчисляемой, начиная с четвертого рабочего дня со дня получения от медицинской организации указанных средств;</w:t>
      </w:r>
    </w:p>
    <w:p>
      <w:pPr>
        <w:pStyle w:val="0"/>
        <w:spacing w:before="240" w:lineRule="auto"/>
        <w:ind w:firstLine="540"/>
        <w:jc w:val="both"/>
      </w:pPr>
      <w:r>
        <w:rPr>
          <w:sz w:val="24"/>
        </w:rPr>
        <w:t xml:space="preserve">средствам авансирования медицинских организаций, не обеспеченных выставленными счетами на оплату медицинской помощи, по которым не осуществлен возврат в территориальный фонд, исчисляемой, начиная с четвертого рабочего дня со дня получения от медицинской организации указанных средств;</w:t>
      </w:r>
    </w:p>
    <w:p>
      <w:pPr>
        <w:pStyle w:val="0"/>
        <w:spacing w:before="240" w:lineRule="auto"/>
        <w:ind w:firstLine="540"/>
        <w:jc w:val="both"/>
      </w:pPr>
      <w:r>
        <w:rPr>
          <w:sz w:val="24"/>
        </w:rPr>
        <w:t xml:space="preserve">штрафам и пеням за нарушение договорных обязательств по договору о финансовом обеспечении обязательного медицинского страхования;</w:t>
      </w:r>
    </w:p>
    <w:p>
      <w:pPr>
        <w:pStyle w:val="0"/>
        <w:spacing w:before="240" w:lineRule="auto"/>
        <w:ind w:firstLine="540"/>
        <w:jc w:val="both"/>
      </w:pPr>
      <w:r>
        <w:rPr>
          <w:sz w:val="24"/>
        </w:rPr>
        <w:t xml:space="preserve">возмещению средств обязательного медицинского страхования, использованных страховой медицинской организацией не по целевому назначению;</w:t>
      </w:r>
    </w:p>
    <w:p>
      <w:pPr>
        <w:pStyle w:val="0"/>
        <w:spacing w:before="240" w:lineRule="auto"/>
        <w:ind w:firstLine="540"/>
        <w:jc w:val="both"/>
      </w:pPr>
      <w:r>
        <w:rPr>
          <w:sz w:val="24"/>
        </w:rPr>
        <w:t xml:space="preserve">28) остатке средств в страховой медицинской организации на конец отчетного периода, в том числе о:</w:t>
      </w:r>
    </w:p>
    <w:p>
      <w:pPr>
        <w:pStyle w:val="0"/>
        <w:spacing w:before="240" w:lineRule="auto"/>
        <w:ind w:firstLine="540"/>
        <w:jc w:val="both"/>
      </w:pPr>
      <w:r>
        <w:rPr>
          <w:sz w:val="24"/>
        </w:rPr>
        <w:t xml:space="preserve">целевых средствах;</w:t>
      </w:r>
    </w:p>
    <w:p>
      <w:pPr>
        <w:pStyle w:val="0"/>
        <w:spacing w:before="240" w:lineRule="auto"/>
        <w:ind w:firstLine="540"/>
        <w:jc w:val="both"/>
      </w:pPr>
      <w:r>
        <w:rPr>
          <w:sz w:val="24"/>
        </w:rPr>
        <w:t xml:space="preserve">средствах, подлежащих направлению в территориальный фонд в соответствии с </w:t>
      </w:r>
      <w:hyperlink w:history="0" r:id="rId170" w:tooltip="Федеральный закон от 29.11.2010 N 326-ФЗ (ред. от 20.02.2026) &quot;Об обязательном медицинском страховании в Российской Федерации&quot; {КонсультантПлюс}">
        <w:r>
          <w:rPr>
            <w:sz w:val="24"/>
            <w:color w:val="0000ff"/>
          </w:rPr>
          <w:t xml:space="preserve">пунктом 2 части 6.3 статьи 26</w:t>
        </w:r>
      </w:hyperlink>
      <w:r>
        <w:rPr>
          <w:sz w:val="24"/>
        </w:rPr>
        <w:t xml:space="preserve"> Федерального закона;</w:t>
      </w:r>
    </w:p>
    <w:p>
      <w:pPr>
        <w:pStyle w:val="0"/>
        <w:spacing w:before="240" w:lineRule="auto"/>
        <w:ind w:firstLine="540"/>
        <w:jc w:val="both"/>
      </w:pPr>
      <w:r>
        <w:rPr>
          <w:sz w:val="24"/>
        </w:rPr>
        <w:t xml:space="preserve">собственных средствах;</w:t>
      </w:r>
    </w:p>
    <w:p>
      <w:pPr>
        <w:pStyle w:val="0"/>
        <w:spacing w:before="240" w:lineRule="auto"/>
        <w:ind w:firstLine="540"/>
        <w:jc w:val="both"/>
      </w:pPr>
      <w:r>
        <w:rPr>
          <w:sz w:val="24"/>
        </w:rPr>
        <w:t xml:space="preserve">средствах, поступивших от юридических и физических лиц, причинивших вред здоровью застрахованных лиц, в пределах суммы, затраченной на оплату медицинской помощи.</w:t>
      </w:r>
    </w:p>
    <w:p>
      <w:pPr>
        <w:pStyle w:val="0"/>
        <w:spacing w:before="240" w:lineRule="auto"/>
        <w:ind w:firstLine="540"/>
        <w:jc w:val="both"/>
      </w:pPr>
      <w:r>
        <w:rPr>
          <w:sz w:val="24"/>
        </w:rPr>
        <w:t xml:space="preserve">189. Акт подписывается руководителем и главным бухгалтером территориального фонда (или иным должностным лицом, на которое возлагается ведение бухгалтерского учета), руководителем и главным бухгалтером страховой медицинской организации (или иным должностным лицом, на которое возлагается ведение бухгалтерского учета) и при формировании акта в форме документа на бумажном носителе - заверяется печатями территориального фонда и страховой медицинской организации (при наличии).</w:t>
      </w:r>
    </w:p>
    <w:p>
      <w:pPr>
        <w:pStyle w:val="0"/>
        <w:spacing w:before="240" w:lineRule="auto"/>
        <w:ind w:firstLine="540"/>
        <w:jc w:val="both"/>
      </w:pPr>
      <w:r>
        <w:rPr>
          <w:sz w:val="24"/>
        </w:rPr>
        <w:t xml:space="preserve">190. Страховая медицинская организация направляет средства на авансирование и оплату медицинской помощи в медицинские организации в соответствии с договорами на оказание и оплату медицинской помощи по обязательному медицинскому страхованию, заключаемыми в соответствии со </w:t>
      </w:r>
      <w:hyperlink w:history="0" r:id="rId171" w:tooltip="Федеральный закон от 29.11.2010 N 326-ФЗ (ред. от 20.02.2026) &quot;Об обязательном медицинском страховании в Российской Федерации&quot; {КонсультантПлюс}">
        <w:r>
          <w:rPr>
            <w:sz w:val="24"/>
            <w:color w:val="0000ff"/>
          </w:rPr>
          <w:t xml:space="preserve">статьей 39</w:t>
        </w:r>
      </w:hyperlink>
      <w:r>
        <w:rPr>
          <w:sz w:val="24"/>
        </w:rPr>
        <w:t xml:space="preserve"> Федерального закона в течение двух рабочих дней со дня получения целевых средств от территориального фонда, направляемых им соответственно согласно </w:t>
      </w:r>
      <w:hyperlink w:history="0" w:anchor="P674" w:tooltip="1) со дня получения заявки на авансирование, в размере не более 50 процентов в период с января по ноябрь, а в декабре - 95 процентов объема средств финансового обеспечения страховой медицинской организации, рассчитанного в соответствии с пунктом 186 настоящих Правил, на месяц, предшествующий месяцу направления заявки на авансирование;">
        <w:r>
          <w:rPr>
            <w:sz w:val="24"/>
            <w:color w:val="0000ff"/>
          </w:rPr>
          <w:t xml:space="preserve">подпунктам 1</w:t>
        </w:r>
      </w:hyperlink>
      <w:r>
        <w:rPr>
          <w:sz w:val="24"/>
        </w:rPr>
        <w:t xml:space="preserve"> и </w:t>
      </w:r>
      <w:hyperlink w:history="0" w:anchor="P675" w:tooltip="2) со дня получения заявки на получение средств на оплату счетов с учетом ранее направленных средств на авансирование, но не более суммы целевых средств, рассчитанной исходя из количества застрахованных лиц и дифференцированных подушевых нормативов (с учетом остатка целевых средств, возвращенных в территориальный фонд в предыдущие периоды).">
        <w:r>
          <w:rPr>
            <w:sz w:val="24"/>
            <w:color w:val="0000ff"/>
          </w:rPr>
          <w:t xml:space="preserve">2 пункта 168</w:t>
        </w:r>
      </w:hyperlink>
      <w:r>
        <w:rPr>
          <w:sz w:val="24"/>
        </w:rPr>
        <w:t xml:space="preserve"> настоящих Правил.</w:t>
      </w:r>
    </w:p>
    <w:p>
      <w:pPr>
        <w:pStyle w:val="0"/>
        <w:spacing w:before="240" w:lineRule="auto"/>
        <w:ind w:firstLine="540"/>
        <w:jc w:val="both"/>
      </w:pPr>
      <w:r>
        <w:rPr>
          <w:sz w:val="24"/>
        </w:rPr>
        <w:t xml:space="preserve">191. Оплате за счет средств обязательного медицинского страхования подлежит объем предоставления медицинской помощи, установленный в договоре на оказание и оплату медицинской помощи по обязательному медицинскому страхованию по способам оплаты медицинской помощи и тарифам на оплату медицинской помощи, определенным в тарифном соглашении, заключенном в соответствии с </w:t>
      </w:r>
      <w:hyperlink w:history="0" r:id="rId172" w:tooltip="Федеральный закон от 29.11.2010 N 326-ФЗ (ред. от 20.02.2026) &quot;Об обязательном медицинском страховании в Российской Федерации&quot; {КонсультантПлюс}">
        <w:r>
          <w:rPr>
            <w:sz w:val="24"/>
            <w:color w:val="0000ff"/>
          </w:rPr>
          <w:t xml:space="preserve">частью 2 статьи 30</w:t>
        </w:r>
      </w:hyperlink>
      <w:r>
        <w:rPr>
          <w:sz w:val="24"/>
        </w:rPr>
        <w:t xml:space="preserve"> Федерального закона.</w:t>
      </w:r>
    </w:p>
    <w:p>
      <w:pPr>
        <w:pStyle w:val="0"/>
        <w:spacing w:before="240" w:lineRule="auto"/>
        <w:ind w:firstLine="540"/>
        <w:jc w:val="both"/>
      </w:pPr>
      <w:r>
        <w:rPr>
          <w:sz w:val="24"/>
        </w:rPr>
        <w:t xml:space="preserve">192. При оплате медицинской помощи на основе подушевого норматива финансирования оплата медицинской помощи осуществляется на основании счета на оплату медицинской помощи, сформированного исходя из среднемесячного количества прикрепленных к медицинской организации застрахованных лиц (застрахованных лиц на территории обслуживания скорой медицинской помощи) и подушевого норматива финансирования медицинской организации.</w:t>
      </w:r>
    </w:p>
    <w:p>
      <w:pPr>
        <w:pStyle w:val="0"/>
        <w:spacing w:before="240" w:lineRule="auto"/>
        <w:ind w:firstLine="540"/>
        <w:jc w:val="both"/>
      </w:pPr>
      <w:r>
        <w:rPr>
          <w:sz w:val="24"/>
        </w:rPr>
        <w:t xml:space="preserve">193. При оплате медицинской помощи на основе подушевого норматива финансирования с учетом показателей результативности деятельности медицинской организации и подушевого норматива финансирования на прикрепившихся лиц, включая оплату медицинской помощи по всем видам и условиям предоставляемой медицинской помощи, с учетом показателей результативности деятельности медицинской организации (далее - подушевой норматив финансирования медицинской помощи по всем видам и условиям оказания медицинской помощи) оплата медицинской помощи, оказанной застрахованному лицу, осуществляется на основании счета на оплату медицинской помощи, сформированного исходя из количества обслуживаемых медицинской организацией застрахованных лиц и подушевого норматива финансирования медицинской организации, с учетом достижения установленных тарифным соглашением, заключенным в соответствии с </w:t>
      </w:r>
      <w:hyperlink w:history="0" r:id="rId173" w:tooltip="Федеральный закон от 29.11.2010 N 326-ФЗ (ред. от 20.02.2026) &quot;Об обязательном медицинском страховании в Российской Федерации&quot; {КонсультантПлюс}">
        <w:r>
          <w:rPr>
            <w:sz w:val="24"/>
            <w:color w:val="0000ff"/>
          </w:rPr>
          <w:t xml:space="preserve">частью 2 статьи 30</w:t>
        </w:r>
      </w:hyperlink>
      <w:r>
        <w:rPr>
          <w:sz w:val="24"/>
        </w:rPr>
        <w:t xml:space="preserve"> Федерального закона, показателей результативности.</w:t>
      </w:r>
    </w:p>
    <w:p>
      <w:pPr>
        <w:pStyle w:val="0"/>
        <w:spacing w:before="240" w:lineRule="auto"/>
        <w:ind w:firstLine="540"/>
        <w:jc w:val="both"/>
      </w:pPr>
      <w:r>
        <w:rPr>
          <w:sz w:val="24"/>
        </w:rPr>
        <w:t xml:space="preserve">194. При этом медицинской организацией, оплата медицинской помощи которой осуществляется на основе подушевого норматива финансирования с учетом показателей результативности деятельности, в том числе подушевого норматива финансирования медицинской помощи по всем видам и условиям ее оказания, представляется персонифицированный реестр счета, содержащий сведения об оказанной медицинской помощи и ее стоимости по тарифам, установленным для соответствующей единицы объема медицинской помощи (медицинских услугах, посещениях, обращениях, вызовах, законченных случаях лечения заболевания, в том числе на основе КСГ) застрахованным лицам, обслуживаемым медицинской организацией.</w:t>
      </w:r>
    </w:p>
    <w:p>
      <w:pPr>
        <w:pStyle w:val="0"/>
        <w:spacing w:before="240" w:lineRule="auto"/>
        <w:ind w:firstLine="540"/>
        <w:jc w:val="both"/>
      </w:pPr>
      <w:r>
        <w:rPr>
          <w:sz w:val="24"/>
        </w:rPr>
        <w:t xml:space="preserve">195. При оплате медицинской помощи за законченный случай, медицинскую услугу, вызов оплата медицинской помощи осуществляется на основании счета и реестра счета на оплату медицинской помощи, сформированного с указанием каждого случая, медицинской услуги, вызова и тарифа на оплату указанной медицинской помощи.</w:t>
      </w:r>
    </w:p>
    <w:p>
      <w:pPr>
        <w:pStyle w:val="0"/>
        <w:spacing w:before="240" w:lineRule="auto"/>
        <w:ind w:firstLine="540"/>
        <w:jc w:val="both"/>
      </w:pPr>
      <w:r>
        <w:rPr>
          <w:sz w:val="24"/>
        </w:rPr>
        <w:t xml:space="preserve">196. Медицинская организация в соответствии с договором на оказание и оплату медицинской помощи по обязательному медицинскому страхованию формирует и направляет:</w:t>
      </w:r>
    </w:p>
    <w:p>
      <w:pPr>
        <w:pStyle w:val="0"/>
        <w:spacing w:before="240" w:lineRule="auto"/>
        <w:ind w:firstLine="540"/>
        <w:jc w:val="both"/>
      </w:pPr>
      <w:r>
        <w:rPr>
          <w:sz w:val="24"/>
        </w:rPr>
        <w:t xml:space="preserve">1) в страховую медицинскую организацию ежемесячно, не позднее второго рабочего дня месяца, заявку на авансирование медицинской помощи;</w:t>
      </w:r>
    </w:p>
    <w:p>
      <w:pPr>
        <w:pStyle w:val="0"/>
        <w:spacing w:before="240" w:lineRule="auto"/>
        <w:ind w:firstLine="540"/>
        <w:jc w:val="both"/>
      </w:pPr>
      <w:r>
        <w:rPr>
          <w:sz w:val="24"/>
        </w:rPr>
        <w:t xml:space="preserve">2) в территориальный фонд ежемесячно, не позднее пятого рабочего дня месяца, следующего за отчетным месяцем, счет на оплату медицинской помощи и реестр счета.</w:t>
      </w:r>
    </w:p>
    <w:p>
      <w:pPr>
        <w:pStyle w:val="0"/>
        <w:spacing w:before="240" w:lineRule="auto"/>
        <w:ind w:firstLine="540"/>
        <w:jc w:val="both"/>
      </w:pPr>
      <w:r>
        <w:rPr>
          <w:sz w:val="24"/>
        </w:rPr>
        <w:t xml:space="preserve">197. Заявка на авансирование медицинской помощи должна содержать следующие сведения:</w:t>
      </w:r>
    </w:p>
    <w:p>
      <w:pPr>
        <w:pStyle w:val="0"/>
        <w:spacing w:before="240" w:lineRule="auto"/>
        <w:ind w:firstLine="540"/>
        <w:jc w:val="both"/>
      </w:pPr>
      <w:r>
        <w:rPr>
          <w:sz w:val="24"/>
        </w:rPr>
        <w:t xml:space="preserve">1) наименование медицинской организации;</w:t>
      </w:r>
    </w:p>
    <w:p>
      <w:pPr>
        <w:pStyle w:val="0"/>
        <w:spacing w:before="240" w:lineRule="auto"/>
        <w:ind w:firstLine="540"/>
        <w:jc w:val="both"/>
      </w:pPr>
      <w:r>
        <w:rPr>
          <w:sz w:val="24"/>
        </w:rPr>
        <w:t xml:space="preserve">2) наименование страховой медицинской организации;</w:t>
      </w:r>
    </w:p>
    <w:p>
      <w:pPr>
        <w:pStyle w:val="0"/>
        <w:spacing w:before="240" w:lineRule="auto"/>
        <w:ind w:firstLine="540"/>
        <w:jc w:val="both"/>
      </w:pPr>
      <w:r>
        <w:rPr>
          <w:sz w:val="24"/>
        </w:rPr>
        <w:t xml:space="preserve">3) период авансирования;</w:t>
      </w:r>
    </w:p>
    <w:p>
      <w:pPr>
        <w:pStyle w:val="0"/>
        <w:spacing w:before="240" w:lineRule="auto"/>
        <w:ind w:firstLine="540"/>
        <w:jc w:val="both"/>
      </w:pPr>
      <w:r>
        <w:rPr>
          <w:sz w:val="24"/>
        </w:rPr>
        <w:t xml:space="preserve">4) размер финансового обеспечения медицинской помощи, распределенной медицинской организации решением Комиссии;</w:t>
      </w:r>
    </w:p>
    <w:p>
      <w:pPr>
        <w:pStyle w:val="0"/>
        <w:spacing w:before="240" w:lineRule="auto"/>
        <w:ind w:firstLine="540"/>
        <w:jc w:val="both"/>
      </w:pPr>
      <w:r>
        <w:rPr>
          <w:sz w:val="24"/>
        </w:rPr>
        <w:t xml:space="preserve">5) среднемесячный объем средств, направляемый на оплату медицинской помощи страховой медицинской организацией в медицинскую организацию за последние три месяца либо с периода начала действия договора на оказание и оплату медицинской помощи по обязательному медицинскому страхованию (в случае периода действия договора менее трех месяцев);</w:t>
      </w:r>
    </w:p>
    <w:bookmarkStart w:id="830" w:name="P830"/>
    <w:bookmarkEnd w:id="830"/>
    <w:p>
      <w:pPr>
        <w:pStyle w:val="0"/>
        <w:spacing w:before="240" w:lineRule="auto"/>
        <w:ind w:firstLine="540"/>
        <w:jc w:val="both"/>
      </w:pPr>
      <w:r>
        <w:rPr>
          <w:sz w:val="24"/>
        </w:rPr>
        <w:t xml:space="preserve">6) сумма авансирования, перечисленная страховой медицинской организацией в медицинскую организацию в прошлых периодах, не обеспеченная выставленными медицинской организацией счетами на оплату медицинской помощи (за исключением месяца, предшествующего месяцу подачи заявки);</w:t>
      </w:r>
    </w:p>
    <w:p>
      <w:pPr>
        <w:pStyle w:val="0"/>
        <w:spacing w:before="240" w:lineRule="auto"/>
        <w:ind w:firstLine="540"/>
        <w:jc w:val="both"/>
      </w:pPr>
      <w:r>
        <w:rPr>
          <w:sz w:val="24"/>
        </w:rPr>
        <w:t xml:space="preserve">7) сумма авансирования (без вычета значения показателя, предусмотренного </w:t>
      </w:r>
      <w:hyperlink w:history="0" w:anchor="P830" w:tooltip="6) сумма авансирования, перечисленная страховой медицинской организацией в медицинскую организацию в прошлых периодах, не обеспеченная выставленными медицинской организацией счетами на оплату медицинской помощи (за исключением месяца, предшествующего месяцу подачи заявки);">
        <w:r>
          <w:rPr>
            <w:sz w:val="24"/>
            <w:color w:val="0000ff"/>
          </w:rPr>
          <w:t xml:space="preserve">подпунктом 6</w:t>
        </w:r>
      </w:hyperlink>
      <w:r>
        <w:rPr>
          <w:sz w:val="24"/>
        </w:rPr>
        <w:t xml:space="preserve"> настоящего пункта).</w:t>
      </w:r>
    </w:p>
    <w:p>
      <w:pPr>
        <w:pStyle w:val="0"/>
        <w:spacing w:before="240" w:lineRule="auto"/>
        <w:ind w:firstLine="540"/>
        <w:jc w:val="both"/>
      </w:pPr>
      <w:r>
        <w:rPr>
          <w:sz w:val="24"/>
        </w:rPr>
        <w:t xml:space="preserve">198. Сумма авансирования, указанная медицинской организацией в заявке на авансирование, не может составлять более 50 процентов в период с января по ноябрь, а в декабре - более 95 процентов от среднемесячного объема средств, направляемых на оплату медицинской помощи страховой медицинской организацией в медицинскую организацию за последние три месяца либо с периода начала действия договора на оказание и оплату медицинской помощи по обязательному медицинскому страхованию (в случае периода действия договора менее трех месяцев).</w:t>
      </w:r>
    </w:p>
    <w:p>
      <w:pPr>
        <w:pStyle w:val="0"/>
        <w:spacing w:before="240" w:lineRule="auto"/>
        <w:ind w:firstLine="540"/>
        <w:jc w:val="both"/>
      </w:pPr>
      <w:r>
        <w:rPr>
          <w:sz w:val="24"/>
        </w:rPr>
        <w:t xml:space="preserve">199. В условиях чрезвычайной ситуации и (или) при возникновении угрозы распространения заболеваний, представляющих опасность для окружающих, сумма авансирования, указанная медицинской организацией в заявке на авансирование, может составлять до 100 процентов от среднемесячного объема средств, направляемых на оплату медицинской помощи страховой медицинской организацией в медицинскую организацию за последние три месяца либо с периода начала действия договора на оказание и оплату медицинской помощи по обязательному медицинскому страхованию (в случае периода действия договора менее трех месяцев).</w:t>
      </w:r>
    </w:p>
    <w:p>
      <w:pPr>
        <w:pStyle w:val="0"/>
        <w:spacing w:before="240" w:lineRule="auto"/>
        <w:ind w:firstLine="540"/>
        <w:jc w:val="both"/>
      </w:pPr>
      <w:r>
        <w:rPr>
          <w:sz w:val="24"/>
        </w:rPr>
        <w:t xml:space="preserve">Территориальный фонд направляет в медицинскую организацию аванс в размере, предусмотренном порядком оплаты медицинской помощи по обязательному медицинскому страхованию, установленным в соответствии с </w:t>
      </w:r>
      <w:hyperlink w:history="0" r:id="rId174" w:tooltip="Федеральный закон от 29.11.2010 N 326-ФЗ (ред. от 20.02.2026) &quot;Об обязательном медицинском страховании в Российской Федерации&quot; {КонсультантПлюс}">
        <w:r>
          <w:rPr>
            <w:sz w:val="24"/>
            <w:color w:val="0000ff"/>
          </w:rPr>
          <w:t xml:space="preserve">пунктом 6 части 1 статьи 7</w:t>
        </w:r>
      </w:hyperlink>
      <w:r>
        <w:rPr>
          <w:sz w:val="24"/>
        </w:rPr>
        <w:t xml:space="preserve"> Федерального закона N 326-ФЗ, не позднее пяти рабочих дней со дня получения от медицинской организации заявки на авансирование медицинской помощи путем перечисления средств обязательного медицинского страхования на расчетный счет медицинской организации.</w:t>
      </w:r>
    </w:p>
    <w:bookmarkStart w:id="835" w:name="P835"/>
    <w:bookmarkEnd w:id="835"/>
    <w:p>
      <w:pPr>
        <w:pStyle w:val="0"/>
        <w:spacing w:before="240" w:lineRule="auto"/>
        <w:ind w:firstLine="540"/>
        <w:jc w:val="both"/>
      </w:pPr>
      <w:r>
        <w:rPr>
          <w:sz w:val="24"/>
        </w:rPr>
        <w:t xml:space="preserve">200. Счет на оплату медицинской помощи должен содержать следующие сведения:</w:t>
      </w:r>
    </w:p>
    <w:p>
      <w:pPr>
        <w:pStyle w:val="0"/>
        <w:spacing w:before="240" w:lineRule="auto"/>
        <w:ind w:firstLine="540"/>
        <w:jc w:val="both"/>
      </w:pPr>
      <w:r>
        <w:rPr>
          <w:sz w:val="24"/>
        </w:rPr>
        <w:t xml:space="preserve">1) номер и дату счета на оплату медицинской помощи;</w:t>
      </w:r>
    </w:p>
    <w:p>
      <w:pPr>
        <w:pStyle w:val="0"/>
        <w:spacing w:before="240" w:lineRule="auto"/>
        <w:ind w:firstLine="540"/>
        <w:jc w:val="both"/>
      </w:pPr>
      <w:r>
        <w:rPr>
          <w:sz w:val="24"/>
        </w:rPr>
        <w:t xml:space="preserve">2) наименование медицинской организации;</w:t>
      </w:r>
    </w:p>
    <w:p>
      <w:pPr>
        <w:pStyle w:val="0"/>
        <w:spacing w:before="240" w:lineRule="auto"/>
        <w:ind w:firstLine="540"/>
        <w:jc w:val="both"/>
      </w:pPr>
      <w:r>
        <w:rPr>
          <w:sz w:val="24"/>
        </w:rPr>
        <w:t xml:space="preserve">3) идентификационный номер налогоплательщика медицинской организации и код постановки на учет в налоговом органе в соответствии с ЕГРЮЛ;</w:t>
      </w:r>
    </w:p>
    <w:p>
      <w:pPr>
        <w:pStyle w:val="0"/>
        <w:spacing w:before="240" w:lineRule="auto"/>
        <w:ind w:firstLine="540"/>
        <w:jc w:val="both"/>
      </w:pPr>
      <w:r>
        <w:rPr>
          <w:sz w:val="24"/>
        </w:rPr>
        <w:t xml:space="preserve">4) период, за который выставлен счет на оплату медицинской помощи;</w:t>
      </w:r>
    </w:p>
    <w:p>
      <w:pPr>
        <w:pStyle w:val="0"/>
        <w:spacing w:before="240" w:lineRule="auto"/>
        <w:ind w:firstLine="540"/>
        <w:jc w:val="both"/>
      </w:pPr>
      <w:r>
        <w:rPr>
          <w:sz w:val="24"/>
        </w:rPr>
        <w:t xml:space="preserve">5) сведения о виде медицинской помощи и способе оплаты медицинской помощи;</w:t>
      </w:r>
    </w:p>
    <w:p>
      <w:pPr>
        <w:pStyle w:val="0"/>
        <w:spacing w:before="240" w:lineRule="auto"/>
        <w:ind w:firstLine="540"/>
        <w:jc w:val="both"/>
      </w:pPr>
      <w:r>
        <w:rPr>
          <w:sz w:val="24"/>
        </w:rPr>
        <w:t xml:space="preserve">6) сведения о среднемесячной численности прикрепленных к медицинской организации застрахованных в страховой медицинской организации лиц (численности застрахованных в страховой медицинской организации лиц, проживающих на территории обслуживания медицинской организации) (в случае оплаты медицинской помощи по подушевым нормативам финансирования);</w:t>
      </w:r>
    </w:p>
    <w:p>
      <w:pPr>
        <w:pStyle w:val="0"/>
        <w:spacing w:before="240" w:lineRule="auto"/>
        <w:ind w:firstLine="540"/>
        <w:jc w:val="both"/>
      </w:pPr>
      <w:r>
        <w:rPr>
          <w:sz w:val="24"/>
        </w:rPr>
        <w:t xml:space="preserve">7) стоимость оказанной медицинской помощи.</w:t>
      </w:r>
    </w:p>
    <w:bookmarkStart w:id="843" w:name="P843"/>
    <w:bookmarkEnd w:id="843"/>
    <w:p>
      <w:pPr>
        <w:pStyle w:val="0"/>
        <w:spacing w:before="240" w:lineRule="auto"/>
        <w:ind w:firstLine="540"/>
        <w:jc w:val="both"/>
      </w:pPr>
      <w:r>
        <w:rPr>
          <w:sz w:val="24"/>
        </w:rPr>
        <w:t xml:space="preserve">201. Реестр счета должен содержать следующие сведения:</w:t>
      </w:r>
    </w:p>
    <w:p>
      <w:pPr>
        <w:pStyle w:val="0"/>
        <w:spacing w:before="240" w:lineRule="auto"/>
        <w:ind w:firstLine="540"/>
        <w:jc w:val="both"/>
      </w:pPr>
      <w:r>
        <w:rPr>
          <w:sz w:val="24"/>
        </w:rPr>
        <w:t xml:space="preserve">1) наименование медицинской организации;</w:t>
      </w:r>
    </w:p>
    <w:p>
      <w:pPr>
        <w:pStyle w:val="0"/>
        <w:spacing w:before="240" w:lineRule="auto"/>
        <w:ind w:firstLine="540"/>
        <w:jc w:val="both"/>
      </w:pPr>
      <w:r>
        <w:rPr>
          <w:sz w:val="24"/>
        </w:rPr>
        <w:t xml:space="preserve">2) идентификационный номер налогоплательщика медицинской организации и код постановки на учет в налоговом органе в соответствии с ЕГРЮЛ;</w:t>
      </w:r>
    </w:p>
    <w:p>
      <w:pPr>
        <w:pStyle w:val="0"/>
        <w:spacing w:before="240" w:lineRule="auto"/>
        <w:ind w:firstLine="540"/>
        <w:jc w:val="both"/>
      </w:pPr>
      <w:r>
        <w:rPr>
          <w:sz w:val="24"/>
        </w:rPr>
        <w:t xml:space="preserve">3) период, за который выставлен счет на оплату медицинской помощи;</w:t>
      </w:r>
    </w:p>
    <w:p>
      <w:pPr>
        <w:pStyle w:val="0"/>
        <w:spacing w:before="240" w:lineRule="auto"/>
        <w:ind w:firstLine="540"/>
        <w:jc w:val="both"/>
      </w:pPr>
      <w:r>
        <w:rPr>
          <w:sz w:val="24"/>
        </w:rPr>
        <w:t xml:space="preserve">4) номер и дату счета на оплату медицинской помощи, к которому сформирован реестр счета;</w:t>
      </w:r>
    </w:p>
    <w:p>
      <w:pPr>
        <w:pStyle w:val="0"/>
        <w:spacing w:before="240" w:lineRule="auto"/>
        <w:ind w:firstLine="540"/>
        <w:jc w:val="both"/>
      </w:pPr>
      <w:r>
        <w:rPr>
          <w:sz w:val="24"/>
        </w:rPr>
        <w:t xml:space="preserve">5) сведения о застрахованном лице:</w:t>
      </w:r>
    </w:p>
    <w:p>
      <w:pPr>
        <w:pStyle w:val="0"/>
        <w:spacing w:before="240" w:lineRule="auto"/>
        <w:ind w:firstLine="540"/>
        <w:jc w:val="both"/>
      </w:pPr>
      <w:r>
        <w:rPr>
          <w:sz w:val="24"/>
        </w:rPr>
        <w:t xml:space="preserve">фамилию, имя, отчество (при наличии);</w:t>
      </w:r>
    </w:p>
    <w:p>
      <w:pPr>
        <w:pStyle w:val="0"/>
        <w:spacing w:before="240" w:lineRule="auto"/>
        <w:ind w:firstLine="540"/>
        <w:jc w:val="both"/>
      </w:pPr>
      <w:r>
        <w:rPr>
          <w:sz w:val="24"/>
        </w:rPr>
        <w:t xml:space="preserve">пол;</w:t>
      </w:r>
    </w:p>
    <w:p>
      <w:pPr>
        <w:pStyle w:val="0"/>
        <w:spacing w:before="240" w:lineRule="auto"/>
        <w:ind w:firstLine="540"/>
        <w:jc w:val="both"/>
      </w:pPr>
      <w:r>
        <w:rPr>
          <w:sz w:val="24"/>
        </w:rPr>
        <w:t xml:space="preserve">дату и место рождения;</w:t>
      </w:r>
    </w:p>
    <w:p>
      <w:pPr>
        <w:pStyle w:val="0"/>
        <w:spacing w:before="240" w:lineRule="auto"/>
        <w:ind w:firstLine="540"/>
        <w:jc w:val="both"/>
      </w:pPr>
      <w:r>
        <w:rPr>
          <w:sz w:val="24"/>
        </w:rPr>
        <w:t xml:space="preserve">данные документа, удостоверяющего личность;</w:t>
      </w:r>
    </w:p>
    <w:p>
      <w:pPr>
        <w:pStyle w:val="0"/>
        <w:spacing w:before="240" w:lineRule="auto"/>
        <w:ind w:firstLine="540"/>
        <w:jc w:val="both"/>
      </w:pPr>
      <w:r>
        <w:rPr>
          <w:sz w:val="24"/>
        </w:rPr>
        <w:t xml:space="preserve">номер полиса;</w:t>
      </w:r>
    </w:p>
    <w:p>
      <w:pPr>
        <w:pStyle w:val="0"/>
        <w:spacing w:before="240" w:lineRule="auto"/>
        <w:ind w:firstLine="540"/>
        <w:jc w:val="both"/>
      </w:pPr>
      <w:r>
        <w:rPr>
          <w:sz w:val="24"/>
        </w:rPr>
        <w:t xml:space="preserve">период (месяц) проведения следующего планового осмотра (при оплате профилактических мероприятий или прохождении диспансерного наблюдения);</w:t>
      </w:r>
    </w:p>
    <w:p>
      <w:pPr>
        <w:pStyle w:val="0"/>
        <w:spacing w:before="240" w:lineRule="auto"/>
        <w:ind w:firstLine="540"/>
        <w:jc w:val="both"/>
      </w:pPr>
      <w:r>
        <w:rPr>
          <w:sz w:val="24"/>
        </w:rPr>
        <w:t xml:space="preserve">6) наименование медицинской организации, выбранной застрахованным лицом в соответствии с законодательством об охране здоровья граждан;</w:t>
      </w:r>
    </w:p>
    <w:p>
      <w:pPr>
        <w:pStyle w:val="0"/>
        <w:spacing w:before="240" w:lineRule="auto"/>
        <w:ind w:firstLine="540"/>
        <w:jc w:val="both"/>
      </w:pPr>
      <w:r>
        <w:rPr>
          <w:sz w:val="24"/>
        </w:rPr>
        <w:t xml:space="preserve">7) сведения об оказанной застрахованному лицу медицинской помощи, включая:</w:t>
      </w:r>
    </w:p>
    <w:p>
      <w:pPr>
        <w:pStyle w:val="0"/>
        <w:spacing w:before="240" w:lineRule="auto"/>
        <w:ind w:firstLine="540"/>
        <w:jc w:val="both"/>
      </w:pPr>
      <w:r>
        <w:rPr>
          <w:sz w:val="24"/>
        </w:rPr>
        <w:t xml:space="preserve">реквизиты направления на оказание плановой специализированной, в том числе высокотехнологичной, медицинской помощи, включая наименование и код медицинской организации и врача, выдавшего направление;</w:t>
      </w:r>
    </w:p>
    <w:p>
      <w:pPr>
        <w:pStyle w:val="0"/>
        <w:spacing w:before="240" w:lineRule="auto"/>
        <w:ind w:firstLine="540"/>
        <w:jc w:val="both"/>
      </w:pPr>
      <w:r>
        <w:rPr>
          <w:sz w:val="24"/>
        </w:rPr>
        <w:t xml:space="preserve">вид оказанной медицинской помощи (код);</w:t>
      </w:r>
    </w:p>
    <w:p>
      <w:pPr>
        <w:pStyle w:val="0"/>
        <w:spacing w:before="240" w:lineRule="auto"/>
        <w:ind w:firstLine="540"/>
        <w:jc w:val="both"/>
      </w:pPr>
      <w:r>
        <w:rPr>
          <w:sz w:val="24"/>
        </w:rPr>
        <w:t xml:space="preserve">основной диагноз в соответствии с Международной статистической </w:t>
      </w:r>
      <w:hyperlink w:history="0" r:id="rId175" w:tooltip="&quot;Международная статистическая классификация болезней и проблем, связанных со здоровьем (10-й пересмотр) (МКБ-10) (версия 2.27 от 02.09.2024)&quot; {КонсультантПлюс}">
        <w:r>
          <w:rPr>
            <w:sz w:val="24"/>
            <w:color w:val="0000ff"/>
          </w:rPr>
          <w:t xml:space="preserve">классификацией</w:t>
        </w:r>
      </w:hyperlink>
      <w:r>
        <w:rPr>
          <w:sz w:val="24"/>
        </w:rPr>
        <w:t xml:space="preserve"> болезней и проблем, связанных со здоровьем (далее - МКБ);</w:t>
      </w:r>
    </w:p>
    <w:p>
      <w:pPr>
        <w:pStyle w:val="0"/>
        <w:spacing w:before="240" w:lineRule="auto"/>
        <w:ind w:firstLine="540"/>
        <w:jc w:val="both"/>
      </w:pPr>
      <w:r>
        <w:rPr>
          <w:sz w:val="24"/>
        </w:rPr>
        <w:t xml:space="preserve">сопутствующий диагноз в соответствии с МКБ (при наличии);</w:t>
      </w:r>
    </w:p>
    <w:p>
      <w:pPr>
        <w:pStyle w:val="0"/>
        <w:spacing w:before="240" w:lineRule="auto"/>
        <w:ind w:firstLine="540"/>
        <w:jc w:val="both"/>
      </w:pPr>
      <w:r>
        <w:rPr>
          <w:sz w:val="24"/>
        </w:rPr>
        <w:t xml:space="preserve">осложнение заболевания в соответствии с МКБ (при наличии);</w:t>
      </w:r>
    </w:p>
    <w:p>
      <w:pPr>
        <w:pStyle w:val="0"/>
        <w:spacing w:before="240" w:lineRule="auto"/>
        <w:ind w:firstLine="540"/>
        <w:jc w:val="both"/>
      </w:pPr>
      <w:r>
        <w:rPr>
          <w:sz w:val="24"/>
        </w:rPr>
        <w:t xml:space="preserve">дату начала и дату окончания оказания медицинской помощи;</w:t>
      </w:r>
    </w:p>
    <w:p>
      <w:pPr>
        <w:pStyle w:val="0"/>
        <w:spacing w:before="240" w:lineRule="auto"/>
        <w:ind w:firstLine="540"/>
        <w:jc w:val="both"/>
      </w:pPr>
      <w:r>
        <w:rPr>
          <w:sz w:val="24"/>
        </w:rPr>
        <w:t xml:space="preserve">объемы оказанной медицинской помощи;</w:t>
      </w:r>
    </w:p>
    <w:p>
      <w:pPr>
        <w:pStyle w:val="0"/>
        <w:spacing w:before="240" w:lineRule="auto"/>
        <w:ind w:firstLine="540"/>
        <w:jc w:val="both"/>
      </w:pPr>
      <w:r>
        <w:rPr>
          <w:sz w:val="24"/>
        </w:rPr>
        <w:t xml:space="preserve">профиль оказанной медицинской помощи (код);</w:t>
      </w:r>
    </w:p>
    <w:p>
      <w:pPr>
        <w:pStyle w:val="0"/>
        <w:spacing w:before="240" w:lineRule="auto"/>
        <w:ind w:firstLine="540"/>
        <w:jc w:val="both"/>
      </w:pPr>
      <w:r>
        <w:rPr>
          <w:sz w:val="24"/>
        </w:rPr>
        <w:t xml:space="preserve">тариф на оплату медицинской помощи, оказанной застрахованному лицу (код и наименование примененного тарифа в соответствии с тарифным соглашением, в том числе о наименовании и номере клинико-статистической группы (при наличии);</w:t>
      </w:r>
    </w:p>
    <w:p>
      <w:pPr>
        <w:pStyle w:val="0"/>
        <w:spacing w:before="240" w:lineRule="auto"/>
        <w:ind w:firstLine="540"/>
        <w:jc w:val="both"/>
      </w:pPr>
      <w:r>
        <w:rPr>
          <w:sz w:val="24"/>
        </w:rPr>
        <w:t xml:space="preserve">стоимость оказанной медицинской помощи (в случае оплаты по подушевому нормативу финансирования стоимость в реестре сведений об оказанной медицинской помощи указывается равной тарифу на оплату медицинской помощи, а итоговая стоимость равной нулю);</w:t>
      </w:r>
    </w:p>
    <w:p>
      <w:pPr>
        <w:pStyle w:val="0"/>
        <w:spacing w:before="240" w:lineRule="auto"/>
        <w:ind w:firstLine="540"/>
        <w:jc w:val="both"/>
      </w:pPr>
      <w:r>
        <w:rPr>
          <w:sz w:val="24"/>
        </w:rPr>
        <w:t xml:space="preserve">результат обращения за медицинской помощью (код);</w:t>
      </w:r>
    </w:p>
    <w:p>
      <w:pPr>
        <w:pStyle w:val="0"/>
        <w:spacing w:before="240" w:lineRule="auto"/>
        <w:ind w:firstLine="540"/>
        <w:jc w:val="both"/>
      </w:pPr>
      <w:r>
        <w:rPr>
          <w:sz w:val="24"/>
        </w:rPr>
        <w:t xml:space="preserve">виды диагностических и (или) консультативных услуг, в случае их установления Комиссией;</w:t>
      </w:r>
    </w:p>
    <w:p>
      <w:pPr>
        <w:pStyle w:val="0"/>
        <w:spacing w:before="240" w:lineRule="auto"/>
        <w:ind w:firstLine="540"/>
        <w:jc w:val="both"/>
      </w:pPr>
      <w:r>
        <w:rPr>
          <w:sz w:val="24"/>
        </w:rPr>
        <w:t xml:space="preserve">виды/коды диагностических и (или) консультативных услуг в соответствии с </w:t>
      </w:r>
      <w:hyperlink w:history="0" r:id="rId176"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номенклатурой</w:t>
        </w:r>
      </w:hyperlink>
      <w:r>
        <w:rPr>
          <w:sz w:val="24"/>
        </w:rPr>
        <w:t xml:space="preserve"> медицинских услуг &lt;21&gt;, в случае их установления Комиссией;</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&lt;21&gt; Утверждена </w:t>
      </w:r>
      <w:hyperlink w:history="0" r:id="rId177" w:tooltip="Приказ Минздрава России от 13.10.2017 N 804н (ред. от 24.09.2020, с изм. от 26.10.2022) &quot;Об утверждении номенклатуры медицинских услуг&quot; (Зарегистрировано в Минюсте России 07.11.2017 N 48808) {КонсультантПлюс}">
        <w:r>
          <w:rPr>
            <w:sz w:val="24"/>
            <w:color w:val="0000ff"/>
          </w:rPr>
          <w:t xml:space="preserve">приказом</w:t>
        </w:r>
      </w:hyperlink>
      <w:r>
        <w:rPr>
          <w:sz w:val="24"/>
        </w:rPr>
        <w:t xml:space="preserve"> Министерства здравоохранения Российской Федерации N 804н.</w:t>
      </w:r>
    </w:p>
    <w:p>
      <w:pPr>
        <w:pStyle w:val="0"/>
        <w:jc w:val="both"/>
      </w:pPr>
      <w:r>
        <w:rPr>
          <w:sz w:val="24"/>
        </w:rPr>
      </w:r>
    </w:p>
    <w:p>
      <w:pPr>
        <w:pStyle w:val="0"/>
        <w:ind w:firstLine="540"/>
        <w:jc w:val="both"/>
      </w:pPr>
      <w:r>
        <w:rPr>
          <w:sz w:val="24"/>
        </w:rPr>
        <w:t xml:space="preserve">период (месяц) проведения следующего планового осмотра.</w:t>
      </w:r>
    </w:p>
    <w:p>
      <w:pPr>
        <w:pStyle w:val="0"/>
        <w:spacing w:before="240" w:lineRule="auto"/>
        <w:ind w:firstLine="540"/>
        <w:jc w:val="both"/>
      </w:pPr>
      <w:r>
        <w:rPr>
          <w:sz w:val="24"/>
        </w:rPr>
        <w:t xml:space="preserve">202. Заявка на авансирование медицинской помощи, счет и реестр счета на оплату медицинской помощи подписываются руководителем и главным бухгалтером медицинской организации (или иным должностным лицом, на которое возлагается ведение бухгалтерского учета), и при формировании заявки на авансирование медицинской помощи, счета и реестра счета на оплату медицинской помощи на бумажном носителе - заверяются печатью медицинской организации.</w:t>
      </w:r>
    </w:p>
    <w:p>
      <w:pPr>
        <w:pStyle w:val="0"/>
        <w:spacing w:before="240" w:lineRule="auto"/>
        <w:ind w:firstLine="540"/>
        <w:jc w:val="both"/>
      </w:pPr>
      <w:r>
        <w:rPr>
          <w:sz w:val="24"/>
        </w:rPr>
        <w:t xml:space="preserve">203. В отношении лиц, не идентифицированных в период оказания медицинской помощи, медицинской организацией в территориальный фонд субъекта Российской Федерации, в реализации территориальной программы которого она участвует, представляется запрос об идентификации застрахованного лица, содержащий предполагаемые сведения о застрахованном лице (фамилия, имя, отчество (при наличии), пол, дата рождения, место рождения, гражданство, место пребывания, сведения о документе, удостоверяющем личность).</w:t>
      </w:r>
    </w:p>
    <w:p>
      <w:pPr>
        <w:pStyle w:val="0"/>
        <w:spacing w:before="240" w:lineRule="auto"/>
        <w:ind w:firstLine="540"/>
        <w:jc w:val="both"/>
      </w:pPr>
      <w:r>
        <w:rPr>
          <w:sz w:val="24"/>
        </w:rPr>
        <w:t xml:space="preserve">204. В случае подачи медицинской организацией запроса об идентификации застрахованного лица территориальный фонд в течение трех рабочих дней со дня получения запроса осуществляет проверку на наличие у застрахованного лица действующего полиса в едином регистре застрахованных лиц. Результаты проверки территориальный фонд в течение одного рабочего дня после окончания проверки представляет в медицинскую организацию.</w:t>
      </w:r>
    </w:p>
    <w:p>
      <w:pPr>
        <w:pStyle w:val="0"/>
        <w:spacing w:before="240" w:lineRule="auto"/>
        <w:ind w:firstLine="540"/>
        <w:jc w:val="both"/>
      </w:pPr>
      <w:r>
        <w:rPr>
          <w:sz w:val="24"/>
        </w:rPr>
        <w:t xml:space="preserve">205. После идентификации застрахованного лица сведения об оказанной медицинской помощи включаются в счет на оплату медицинской помощи.</w:t>
      </w:r>
    </w:p>
    <w:p>
      <w:pPr>
        <w:pStyle w:val="0"/>
        <w:spacing w:before="240" w:lineRule="auto"/>
        <w:ind w:firstLine="540"/>
        <w:jc w:val="both"/>
      </w:pPr>
      <w:r>
        <w:rPr>
          <w:sz w:val="24"/>
        </w:rPr>
        <w:t xml:space="preserve">206. С учетом представленных медицинской организацией счетов и реестров счетов на оплату медицинской помощи территориальный фонд осуществляет проведение медико-экономического контроля, по итогам которого не позднее 10 рабочего дня месяца, следующего за отчетным месяцем:</w:t>
      </w:r>
    </w:p>
    <w:p>
      <w:pPr>
        <w:pStyle w:val="0"/>
        <w:spacing w:before="240" w:lineRule="auto"/>
        <w:ind w:firstLine="540"/>
        <w:jc w:val="both"/>
      </w:pPr>
      <w:r>
        <w:rPr>
          <w:sz w:val="24"/>
        </w:rPr>
        <w:t xml:space="preserve">направляет в медицинские организации заключения по результатам медико-экономического контроля по лицам, застрахованным в страховой медицинской организации, в страховую медицинскую организацию - принятые к оплате счета и реестры счетов на оплату медицинской помощи, оказанной застрахованным в страховой медицинской организации лицам в рамках территориальной программы обязательного медицинского страхования, а также заключения по результатам медико-экономического контроля в страховую медицинскую организацию для проведения медико-экономической экспертизы, экспертизы качества медицинской помощи в соответствии с порядком проведения контроля и оплаты оказанной медицинской помощи с учетом результатов контроля объемов, сроков, качества и условий предоставления медицинской помощи;</w:t>
      </w:r>
    </w:p>
    <w:p>
      <w:pPr>
        <w:pStyle w:val="0"/>
        <w:spacing w:before="240" w:lineRule="auto"/>
        <w:ind w:firstLine="540"/>
        <w:jc w:val="both"/>
      </w:pPr>
      <w:r>
        <w:rPr>
          <w:sz w:val="24"/>
        </w:rPr>
        <w:t xml:space="preserve">осуществляет оплату медицинской помощи, оказанной застрахованным лицам за пределами территории субъекта Российской Федерации, в котором выдан полис, в объеме, установленном базовой программой обязательного медицинского страхования, с учетом результатов контроля, объемов, сроков, качества и условий предоставления медицинской помощи.</w:t>
      </w:r>
    </w:p>
    <w:p>
      <w:pPr>
        <w:pStyle w:val="0"/>
        <w:spacing w:before="240" w:lineRule="auto"/>
        <w:ind w:firstLine="540"/>
        <w:jc w:val="both"/>
      </w:pPr>
      <w:r>
        <w:rPr>
          <w:sz w:val="24"/>
        </w:rPr>
        <w:t xml:space="preserve">207. В соответствии со </w:t>
      </w:r>
      <w:hyperlink w:history="0" r:id="rId178" w:tooltip="Федеральный закон от 29.11.2010 N 326-ФЗ (ред. от 20.02.2026) &quot;Об обязательном медицинском страховании в Российской Федерации&quot; {КонсультантПлюс}">
        <w:r>
          <w:rPr>
            <w:sz w:val="24"/>
            <w:color w:val="0000ff"/>
          </w:rPr>
          <w:t xml:space="preserve">статьей 40</w:t>
        </w:r>
      </w:hyperlink>
      <w:r>
        <w:rPr>
          <w:sz w:val="24"/>
        </w:rPr>
        <w:t xml:space="preserve"> Федерального закона по результатам контроля объемов, сроков, качества и условий предоставления медицинской помощи применяются меры, предусмотренные </w:t>
      </w:r>
      <w:hyperlink w:history="0" r:id="rId179" w:tooltip="Федеральный закон от 29.11.2010 N 326-ФЗ (ред. от 20.02.2026) &quot;Об обязательном медицинском страховании в Российской Федерации&quot; {КонсультантПлюс}">
        <w:r>
          <w:rPr>
            <w:sz w:val="24"/>
            <w:color w:val="0000ff"/>
          </w:rPr>
          <w:t xml:space="preserve">статьей 41</w:t>
        </w:r>
      </w:hyperlink>
      <w:r>
        <w:rPr>
          <w:sz w:val="24"/>
        </w:rPr>
        <w:t xml:space="preserve"> Федерального закона и условиями договора на оказание и оплату медицинской помощи по обязательному медицинскому страхованию.</w:t>
      </w:r>
    </w:p>
    <w:p>
      <w:pPr>
        <w:pStyle w:val="0"/>
        <w:spacing w:before="240" w:lineRule="auto"/>
        <w:ind w:firstLine="540"/>
        <w:jc w:val="both"/>
      </w:pPr>
      <w:r>
        <w:rPr>
          <w:sz w:val="24"/>
        </w:rPr>
        <w:t xml:space="preserve">208. Сумма, не подлежащая оплате по результатам медико-экономического контроля, медико-экономической экспертизы, экспертизы качества медицинской помощи, согласно </w:t>
      </w:r>
      <w:hyperlink w:history="0" r:id="rId180" w:tooltip="Федеральный закон от 29.11.2010 N 326-ФЗ (ред. от 20.02.2026) &quot;Об обязательном медицинском страховании в Российской Федерации&quot; {КонсультантПлюс}">
        <w:r>
          <w:rPr>
            <w:sz w:val="24"/>
            <w:color w:val="0000ff"/>
          </w:rPr>
          <w:t xml:space="preserve">статье 41</w:t>
        </w:r>
      </w:hyperlink>
      <w:r>
        <w:rPr>
          <w:sz w:val="24"/>
        </w:rPr>
        <w:t xml:space="preserve"> Федерального закона удерживается из объема средств, предусмотренных для оплаты медицинской помощи, оказанной медицинскими организациями, или подлежит возврату в страховую медицинскую организацию в соответствии с договором на оказание и оплату медицинской помощи по обязательному медицинскому страхованию и порядком проведения контроля.</w:t>
      </w:r>
    </w:p>
    <w:bookmarkStart w:id="883" w:name="P883"/>
    <w:bookmarkEnd w:id="883"/>
    <w:p>
      <w:pPr>
        <w:pStyle w:val="0"/>
        <w:spacing w:before="240" w:lineRule="auto"/>
        <w:ind w:firstLine="540"/>
        <w:jc w:val="both"/>
      </w:pPr>
      <w:r>
        <w:rPr>
          <w:sz w:val="24"/>
        </w:rPr>
        <w:t xml:space="preserve">209. Размер неоплаты или неполной оплаты затрат медицинской организации на оказание медицинской помощи (Н) (за исключением случаев применения кода нарушения/дефекта 2.12.1, предусмотренного </w:t>
      </w:r>
      <w:hyperlink w:history="0" w:anchor="P4758" w:tooltip="ЗНАЧЕНИЯ">
        <w:r>
          <w:rPr>
            <w:sz w:val="24"/>
            <w:color w:val="0000ff"/>
          </w:rPr>
          <w:t xml:space="preserve">приложением N 8</w:t>
        </w:r>
      </w:hyperlink>
      <w:r>
        <w:rPr>
          <w:sz w:val="24"/>
        </w:rPr>
        <w:t xml:space="preserve"> к настоящим Правилам) рассчитывается по формуле:</w:t>
      </w:r>
    </w:p>
    <w:p>
      <w:pPr>
        <w:pStyle w:val="0"/>
        <w:jc w:val="both"/>
      </w:pPr>
      <w:r>
        <w:rPr>
          <w:sz w:val="24"/>
        </w:rPr>
      </w:r>
    </w:p>
    <w:p>
      <w:pPr>
        <w:pStyle w:val="0"/>
        <w:jc w:val="center"/>
      </w:pPr>
      <w:r>
        <w:rPr>
          <w:sz w:val="24"/>
        </w:rPr>
        <w:t xml:space="preserve">Н = РТ x К</w:t>
      </w:r>
      <w:r>
        <w:rPr>
          <w:sz w:val="24"/>
          <w:vertAlign w:val="subscript"/>
        </w:rPr>
        <w:t xml:space="preserve">но,</w:t>
      </w:r>
    </w:p>
    <w:p>
      <w:pPr>
        <w:pStyle w:val="0"/>
        <w:jc w:val="both"/>
      </w:pPr>
      <w:r>
        <w:rPr>
          <w:sz w:val="24"/>
        </w:rPr>
      </w:r>
    </w:p>
    <w:p>
      <w:pPr>
        <w:pStyle w:val="0"/>
        <w:ind w:firstLine="540"/>
        <w:jc w:val="both"/>
      </w:pPr>
      <w:r>
        <w:rPr>
          <w:sz w:val="24"/>
        </w:rPr>
        <w:t xml:space="preserve">где:</w:t>
      </w:r>
    </w:p>
    <w:p>
      <w:pPr>
        <w:pStyle w:val="0"/>
        <w:spacing w:before="240" w:lineRule="auto"/>
        <w:ind w:firstLine="540"/>
        <w:jc w:val="both"/>
      </w:pPr>
      <w:r>
        <w:rPr>
          <w:sz w:val="24"/>
        </w:rPr>
        <w:t xml:space="preserve">Н - размер неоплаты или неполной оплаты затрат медицинской организации на оказание медицинской помощи;</w:t>
      </w:r>
    </w:p>
    <w:p>
      <w:pPr>
        <w:pStyle w:val="0"/>
        <w:spacing w:before="240" w:lineRule="auto"/>
        <w:ind w:firstLine="540"/>
        <w:jc w:val="both"/>
      </w:pPr>
      <w:r>
        <w:rPr>
          <w:sz w:val="24"/>
        </w:rPr>
        <w:t xml:space="preserve">РТ - размер тарифа на оплату медицинской помощи, поданный за оплату медицинской организацией и действующий на дату оказания медицинской помощи;</w:t>
      </w:r>
    </w:p>
    <w:p>
      <w:pPr>
        <w:pStyle w:val="0"/>
        <w:spacing w:before="240" w:lineRule="auto"/>
        <w:ind w:firstLine="540"/>
        <w:jc w:val="both"/>
      </w:pPr>
      <w:r>
        <w:rPr>
          <w:sz w:val="24"/>
        </w:rPr>
        <w:t xml:space="preserve">К</w:t>
      </w:r>
      <w:r>
        <w:rPr>
          <w:sz w:val="24"/>
          <w:vertAlign w:val="subscript"/>
        </w:rPr>
        <w:t xml:space="preserve">но</w:t>
      </w:r>
      <w:r>
        <w:rPr>
          <w:sz w:val="24"/>
        </w:rPr>
        <w:t xml:space="preserve"> - коэффициент для определения размера неполной оплаты медицинской помощи по основанию для отказа в оплате медицинской помощи либо уменьшению оплаты медицинской помощи.</w:t>
      </w:r>
    </w:p>
    <w:p>
      <w:pPr>
        <w:pStyle w:val="0"/>
        <w:spacing w:before="240" w:lineRule="auto"/>
        <w:ind w:firstLine="540"/>
        <w:jc w:val="both"/>
      </w:pPr>
      <w:r>
        <w:rPr>
          <w:sz w:val="24"/>
        </w:rPr>
        <w:t xml:space="preserve">Если стоимость случая, подлежащего неоплате (неполной оплате) не является тарифом, утвержденным тарифным соглашением, или получена расчетным путем, в том числе с использованием доли оплаты прерванных случаев, то параметр РТ определяется как сумма, выставленная к оплате по законченному случаю лечения.</w:t>
      </w:r>
    </w:p>
    <w:p>
      <w:pPr>
        <w:pStyle w:val="0"/>
        <w:spacing w:before="240" w:lineRule="auto"/>
        <w:ind w:firstLine="540"/>
        <w:jc w:val="both"/>
      </w:pPr>
      <w:r>
        <w:rPr>
          <w:sz w:val="24"/>
        </w:rPr>
        <w:t xml:space="preserve">Значения коэффициента для определения размера неполной оплаты медицинской помощи приведены в </w:t>
      </w:r>
      <w:hyperlink w:history="0" w:anchor="P4758" w:tooltip="ЗНАЧЕНИЯ">
        <w:r>
          <w:rPr>
            <w:sz w:val="24"/>
            <w:color w:val="0000ff"/>
          </w:rPr>
          <w:t xml:space="preserve">приложении N 8</w:t>
        </w:r>
      </w:hyperlink>
      <w:r>
        <w:rPr>
          <w:sz w:val="24"/>
        </w:rPr>
        <w:t xml:space="preserve"> к настоящим Правилам.</w:t>
      </w:r>
    </w:p>
    <w:p>
      <w:pPr>
        <w:pStyle w:val="0"/>
        <w:spacing w:before="240" w:lineRule="auto"/>
        <w:ind w:firstLine="540"/>
        <w:jc w:val="both"/>
      </w:pPr>
      <w:r>
        <w:rPr>
          <w:sz w:val="24"/>
        </w:rPr>
        <w:t xml:space="preserve">210. В случаях применения кода нарушения/дефекта 2.12.1 размер неоплаты или неполной оплаты затрат медицинской организации на оказание медицинской помощи (Н) рассчитывается по формуле:</w:t>
      </w:r>
    </w:p>
    <w:p>
      <w:pPr>
        <w:pStyle w:val="0"/>
        <w:jc w:val="both"/>
      </w:pPr>
      <w:r>
        <w:rPr>
          <w:sz w:val="24"/>
        </w:rPr>
      </w:r>
    </w:p>
    <w:p>
      <w:pPr>
        <w:pStyle w:val="0"/>
        <w:jc w:val="center"/>
      </w:pPr>
      <w:r>
        <w:rPr>
          <w:sz w:val="24"/>
        </w:rPr>
        <w:t xml:space="preserve">Н = (РТ</w:t>
      </w:r>
      <w:r>
        <w:rPr>
          <w:sz w:val="24"/>
          <w:vertAlign w:val="subscript"/>
        </w:rPr>
        <w:t xml:space="preserve">1</w:t>
      </w:r>
      <w:r>
        <w:rPr>
          <w:sz w:val="24"/>
        </w:rPr>
        <w:t xml:space="preserve"> - РТ</w:t>
      </w:r>
      <w:r>
        <w:rPr>
          <w:sz w:val="24"/>
          <w:vertAlign w:val="subscript"/>
        </w:rPr>
        <w:t xml:space="preserve">2</w:t>
      </w:r>
      <w:r>
        <w:rPr>
          <w:sz w:val="24"/>
        </w:rPr>
        <w:t xml:space="preserve">) + РТ</w:t>
      </w:r>
      <w:r>
        <w:rPr>
          <w:sz w:val="24"/>
          <w:vertAlign w:val="subscript"/>
        </w:rPr>
        <w:t xml:space="preserve">2</w:t>
      </w:r>
      <w:r>
        <w:rPr>
          <w:sz w:val="24"/>
        </w:rPr>
        <w:t xml:space="preserve"> x К</w:t>
      </w:r>
      <w:r>
        <w:rPr>
          <w:sz w:val="24"/>
          <w:vertAlign w:val="subscript"/>
        </w:rPr>
        <w:t xml:space="preserve">но,</w:t>
      </w:r>
    </w:p>
    <w:p>
      <w:pPr>
        <w:pStyle w:val="0"/>
        <w:jc w:val="both"/>
      </w:pPr>
      <w:r>
        <w:rPr>
          <w:sz w:val="24"/>
        </w:rPr>
      </w:r>
    </w:p>
    <w:p>
      <w:pPr>
        <w:pStyle w:val="0"/>
        <w:ind w:firstLine="540"/>
        <w:jc w:val="both"/>
      </w:pPr>
      <w:r>
        <w:rPr>
          <w:sz w:val="24"/>
        </w:rPr>
        <w:t xml:space="preserve">где:</w:t>
      </w:r>
    </w:p>
    <w:p>
      <w:pPr>
        <w:pStyle w:val="0"/>
        <w:spacing w:before="240" w:lineRule="auto"/>
        <w:ind w:firstLine="540"/>
        <w:jc w:val="both"/>
      </w:pPr>
      <w:r>
        <w:rPr>
          <w:sz w:val="24"/>
        </w:rPr>
        <w:t xml:space="preserve">Н - размер неоплаты или неполной оплаты затрат медицинской организации на оказание медицинской помощи;</w:t>
      </w:r>
    </w:p>
    <w:p>
      <w:pPr>
        <w:pStyle w:val="0"/>
        <w:spacing w:before="240" w:lineRule="auto"/>
        <w:ind w:firstLine="540"/>
        <w:jc w:val="both"/>
      </w:pPr>
      <w:r>
        <w:rPr>
          <w:sz w:val="24"/>
        </w:rPr>
        <w:t xml:space="preserve">РТ</w:t>
      </w:r>
      <w:r>
        <w:rPr>
          <w:sz w:val="24"/>
          <w:vertAlign w:val="subscript"/>
        </w:rPr>
        <w:t xml:space="preserve">1</w:t>
      </w:r>
      <w:r>
        <w:rPr>
          <w:sz w:val="24"/>
        </w:rPr>
        <w:t xml:space="preserve"> - размер тарифа на оплату медицинской помощи, поданный на оплату медицинской организацией и действующий на дату оказания медицинской помощи;</w:t>
      </w:r>
    </w:p>
    <w:p>
      <w:pPr>
        <w:pStyle w:val="0"/>
        <w:spacing w:before="240" w:lineRule="auto"/>
        <w:ind w:firstLine="540"/>
        <w:jc w:val="both"/>
      </w:pPr>
      <w:r>
        <w:rPr>
          <w:sz w:val="24"/>
        </w:rPr>
        <w:t xml:space="preserve">РТ</w:t>
      </w:r>
      <w:r>
        <w:rPr>
          <w:sz w:val="24"/>
          <w:vertAlign w:val="subscript"/>
        </w:rPr>
        <w:t xml:space="preserve">2</w:t>
      </w:r>
      <w:r>
        <w:rPr>
          <w:sz w:val="24"/>
        </w:rPr>
        <w:t xml:space="preserve"> - размер тарифа на оплату медицинской помощи, который следует применить за фактически предоставленную застрахованному лицу медицинскую помощь (в соответствии с данными медицинской и иной документации застрахованного лица, представленной на экспертизу);</w:t>
      </w:r>
    </w:p>
    <w:p>
      <w:pPr>
        <w:pStyle w:val="0"/>
        <w:spacing w:before="240" w:lineRule="auto"/>
        <w:ind w:firstLine="540"/>
        <w:jc w:val="both"/>
      </w:pPr>
      <w:r>
        <w:rPr>
          <w:sz w:val="24"/>
        </w:rPr>
        <w:t xml:space="preserve">К</w:t>
      </w:r>
      <w:r>
        <w:rPr>
          <w:sz w:val="24"/>
          <w:vertAlign w:val="subscript"/>
        </w:rPr>
        <w:t xml:space="preserve">но</w:t>
      </w:r>
      <w:r>
        <w:rPr>
          <w:sz w:val="24"/>
        </w:rPr>
        <w:t xml:space="preserve"> - коэффициент для определения размера неполной оплаты медицинской помощи по основанию для отказа в оплате медицинской помощи либо уменьшению оплаты медицинской помощи в соответствии с </w:t>
      </w:r>
      <w:hyperlink w:history="0" w:anchor="P4758" w:tooltip="ЗНАЧЕНИЯ">
        <w:r>
          <w:rPr>
            <w:sz w:val="24"/>
            <w:color w:val="0000ff"/>
          </w:rPr>
          <w:t xml:space="preserve">приложением N 8</w:t>
        </w:r>
      </w:hyperlink>
      <w:r>
        <w:rPr>
          <w:sz w:val="24"/>
        </w:rPr>
        <w:t xml:space="preserve"> к настоящим Правилам.</w:t>
      </w:r>
    </w:p>
    <w:bookmarkStart w:id="902" w:name="P902"/>
    <w:bookmarkEnd w:id="902"/>
    <w:p>
      <w:pPr>
        <w:pStyle w:val="0"/>
        <w:spacing w:before="240" w:lineRule="auto"/>
        <w:ind w:firstLine="540"/>
        <w:jc w:val="both"/>
      </w:pPr>
      <w:r>
        <w:rPr>
          <w:sz w:val="24"/>
        </w:rPr>
        <w:t xml:space="preserve">211. Размер штрафных санкций, применяемых к медицинской организации за неоказание, несвоевременное оказание либо оказание медицинской помощи ненадлежащего качества (С</w:t>
      </w:r>
      <w:r>
        <w:rPr>
          <w:sz w:val="24"/>
          <w:vertAlign w:val="subscript"/>
        </w:rPr>
        <w:t xml:space="preserve">шт</w:t>
      </w:r>
      <w:r>
        <w:rPr>
          <w:sz w:val="24"/>
        </w:rPr>
        <w:t xml:space="preserve">), рассчитывается по формуле:</w:t>
      </w:r>
    </w:p>
    <w:p>
      <w:pPr>
        <w:pStyle w:val="0"/>
        <w:jc w:val="both"/>
      </w:pPr>
      <w:r>
        <w:rPr>
          <w:sz w:val="24"/>
        </w:rPr>
      </w:r>
    </w:p>
    <w:p>
      <w:pPr>
        <w:pStyle w:val="0"/>
        <w:jc w:val="center"/>
      </w:pPr>
      <w:r>
        <w:rPr>
          <w:sz w:val="24"/>
        </w:rPr>
        <w:t xml:space="preserve">С</w:t>
      </w:r>
      <w:r>
        <w:rPr>
          <w:sz w:val="24"/>
          <w:vertAlign w:val="subscript"/>
        </w:rPr>
        <w:t xml:space="preserve">шт</w:t>
      </w:r>
      <w:r>
        <w:rPr>
          <w:sz w:val="24"/>
        </w:rPr>
        <w:t xml:space="preserve"> = РП x К</w:t>
      </w:r>
      <w:r>
        <w:rPr>
          <w:sz w:val="24"/>
          <w:vertAlign w:val="subscript"/>
        </w:rPr>
        <w:t xml:space="preserve">шт</w:t>
      </w:r>
      <w:r>
        <w:rPr>
          <w:sz w:val="24"/>
        </w:rPr>
        <w:t xml:space="preserve">,</w:t>
      </w:r>
    </w:p>
    <w:p>
      <w:pPr>
        <w:pStyle w:val="0"/>
        <w:jc w:val="both"/>
      </w:pPr>
      <w:r>
        <w:rPr>
          <w:sz w:val="24"/>
        </w:rPr>
      </w:r>
    </w:p>
    <w:p>
      <w:pPr>
        <w:pStyle w:val="0"/>
        <w:ind w:firstLine="540"/>
        <w:jc w:val="both"/>
      </w:pPr>
      <w:r>
        <w:rPr>
          <w:sz w:val="24"/>
        </w:rPr>
        <w:t xml:space="preserve">где:</w:t>
      </w:r>
    </w:p>
    <w:p>
      <w:pPr>
        <w:pStyle w:val="0"/>
        <w:spacing w:before="240" w:lineRule="auto"/>
        <w:ind w:firstLine="540"/>
        <w:jc w:val="both"/>
      </w:pPr>
      <w:r>
        <w:rPr>
          <w:sz w:val="24"/>
        </w:rPr>
        <w:t xml:space="preserve">С</w:t>
      </w:r>
      <w:r>
        <w:rPr>
          <w:sz w:val="24"/>
          <w:vertAlign w:val="subscript"/>
        </w:rPr>
        <w:t xml:space="preserve">шт</w:t>
      </w:r>
      <w:r>
        <w:rPr>
          <w:sz w:val="24"/>
        </w:rPr>
        <w:t xml:space="preserve"> - размер штрафных санкций за неоказание, несвоевременное оказание либо оказание медицинской помощи ненадлежащего качества;</w:t>
      </w:r>
    </w:p>
    <w:p>
      <w:pPr>
        <w:pStyle w:val="0"/>
        <w:spacing w:before="240" w:lineRule="auto"/>
        <w:ind w:firstLine="540"/>
        <w:jc w:val="both"/>
      </w:pPr>
      <w:r>
        <w:rPr>
          <w:sz w:val="24"/>
        </w:rPr>
        <w:t xml:space="preserve">РП - установленный тарифным соглашением субъекта Российской Федерации на дату проведения контроля объемов, сроков, качества и условий предоставления медицинской помощи и применяемый в зависимости от способа оплаты медицинской помощи, в отношении оказания которой проводится контроль объемов, сроков, качества и условий предоставления медицинской помощи, подушевой норматив финансирования медицинской помощи, оказанной в амбулаторных условиях, установленный на год, или подушевой норматив финансирования скорой медицинской помощи, оказанной вне медицинской организации, установленный на год, или подушевой норматив финансирования медицинской помощи по всем видам и условиям ее оказания за счет средств обязательного медицинского страхования, установленный на год, или подушевой норматив финансирования медицинской помощи в условиях дневного и круглосуточного стационаров, установленный территориальной программой на год (за исключением нарушения/дефекта 2.12.1, предусмотренного </w:t>
      </w:r>
      <w:hyperlink w:history="0" w:anchor="P4758" w:tooltip="ЗНАЧЕНИЯ">
        <w:r>
          <w:rPr>
            <w:sz w:val="24"/>
            <w:color w:val="0000ff"/>
          </w:rPr>
          <w:t xml:space="preserve">приложением N 8</w:t>
        </w:r>
      </w:hyperlink>
      <w:r>
        <w:rPr>
          <w:sz w:val="24"/>
        </w:rPr>
        <w:t xml:space="preserve"> к настоящим Правилам, для которого РП - размер предъявленной к оплате стоимости оказанной медицинской помощи);</w:t>
      </w:r>
    </w:p>
    <w:p>
      <w:pPr>
        <w:pStyle w:val="0"/>
        <w:spacing w:before="240" w:lineRule="auto"/>
        <w:ind w:firstLine="540"/>
        <w:jc w:val="both"/>
      </w:pPr>
      <w:r>
        <w:rPr>
          <w:sz w:val="24"/>
        </w:rPr>
        <w:t xml:space="preserve">К</w:t>
      </w:r>
      <w:r>
        <w:rPr>
          <w:sz w:val="24"/>
          <w:vertAlign w:val="subscript"/>
        </w:rPr>
        <w:t xml:space="preserve">шт</w:t>
      </w:r>
      <w:r>
        <w:rPr>
          <w:sz w:val="24"/>
        </w:rPr>
        <w:t xml:space="preserve"> - коэффициент для определения размера штрафных санкций по за неоказание, несвоевременное оказание либо оказание медицинской помощи ненадлежащего качества.</w:t>
      </w:r>
    </w:p>
    <w:p>
      <w:pPr>
        <w:pStyle w:val="0"/>
        <w:spacing w:before="240" w:lineRule="auto"/>
        <w:ind w:firstLine="540"/>
        <w:jc w:val="both"/>
      </w:pPr>
      <w:r>
        <w:rPr>
          <w:sz w:val="24"/>
        </w:rPr>
        <w:t xml:space="preserve">212. Значения коэффициентов для определения размера неоплаты или неполной оплаты затрат медицинской организации на оказание медицинской помощи и размера штрафных санкций за неоказание, несвоевременное оказание либо оказание медицинской помощи ненадлежащего качества приведены в </w:t>
      </w:r>
      <w:hyperlink w:history="0" w:anchor="P4758" w:tooltip="ЗНАЧЕНИЯ">
        <w:r>
          <w:rPr>
            <w:sz w:val="24"/>
            <w:color w:val="0000ff"/>
          </w:rPr>
          <w:t xml:space="preserve">приложении N 8</w:t>
        </w:r>
      </w:hyperlink>
      <w:r>
        <w:rPr>
          <w:sz w:val="24"/>
        </w:rPr>
        <w:t xml:space="preserve"> к настоящим Правилам.</w:t>
      </w:r>
    </w:p>
    <w:p>
      <w:pPr>
        <w:pStyle w:val="0"/>
        <w:spacing w:before="240" w:lineRule="auto"/>
        <w:ind w:firstLine="540"/>
        <w:jc w:val="both"/>
      </w:pPr>
      <w:r>
        <w:rPr>
          <w:sz w:val="24"/>
        </w:rPr>
        <w:t xml:space="preserve">213. При наличии отклоненных от оплаты счетов на оплату медицинской помощи по результатам проведенного территориальным фондом медико-экономического контроля медицинская организация вправе доработать и представить в территориальный фонд отклоненные ранее от оплаты счета на оплату медицинской помощи и реестры счетов не позднее семи рабочих дней с даты получения соответствующего заключения по результатам медико-экономического контроля первично представленного медицинской организацией счета на оплату медицинской помощи, за исключением случая, указанного в </w:t>
      </w:r>
      <w:hyperlink w:history="0" w:anchor="P912" w:tooltip="214. В случае принятия Комиссией решения об увеличении медицинской организации объемов предоставления медицинской помощи и (или) ее финансового обеспечения отклоненные ранее от оплаты счета и реестры счетов на оплату медицинской помощи повторно представляются медицинской организацией в территориальный фонд не позднее пятого рабочего дня месяца, следующего за месяцем, в котором Комиссией были пересмотрены объемы предоставления медицинской помощи и (или) ее финансового обеспечения.">
        <w:r>
          <w:rPr>
            <w:sz w:val="24"/>
            <w:color w:val="0000ff"/>
          </w:rPr>
          <w:t xml:space="preserve">пункте 214</w:t>
        </w:r>
      </w:hyperlink>
      <w:r>
        <w:rPr>
          <w:sz w:val="24"/>
        </w:rPr>
        <w:t xml:space="preserve"> настоящих Правил. Оплата счетов, повторно представленных медицинскими организациями к оплате после доработки, осуществляется в период оплаты счетов за следующий отчетный месяц.</w:t>
      </w:r>
    </w:p>
    <w:bookmarkStart w:id="912" w:name="P912"/>
    <w:bookmarkEnd w:id="912"/>
    <w:p>
      <w:pPr>
        <w:pStyle w:val="0"/>
        <w:spacing w:before="240" w:lineRule="auto"/>
        <w:ind w:firstLine="540"/>
        <w:jc w:val="both"/>
      </w:pPr>
      <w:r>
        <w:rPr>
          <w:sz w:val="24"/>
        </w:rPr>
        <w:t xml:space="preserve">214. В случае принятия Комиссией решения об увеличении медицинской организации объемов предоставления медицинской помощи и (или) ее финансового обеспечения отклоненные ранее от оплаты счета и реестры счетов на оплату медицинской помощи повторно представляются медицинской организацией в территориальный фонд не позднее пятого рабочего дня месяца, следующего за месяцем, в котором Комиссией были пересмотрены объемы предоставления медицинской помощи и (или) ее финансового обеспечения.</w:t>
      </w:r>
    </w:p>
    <w:p>
      <w:pPr>
        <w:pStyle w:val="0"/>
        <w:spacing w:before="240" w:lineRule="auto"/>
        <w:ind w:firstLine="540"/>
        <w:jc w:val="both"/>
      </w:pPr>
      <w:r>
        <w:rPr>
          <w:sz w:val="24"/>
        </w:rPr>
        <w:t xml:space="preserve">215. При превышении в отчетном месяце объема средств, направленных в медицинскую организацию в соответствии с заявкой на авансирование медицинской помощи, над суммой выставленных медицинской организацией счетов на оплату медицинской помощи с учетом результатов контроля объемов, сроков, качества и условий предоставления медицинской помощи, в последующие месяцы размер заявки на авансирование медицинской помощи уменьшается на сумму средств указанного превышения.</w:t>
      </w:r>
    </w:p>
    <w:p>
      <w:pPr>
        <w:pStyle w:val="0"/>
        <w:spacing w:before="240" w:lineRule="auto"/>
        <w:ind w:firstLine="540"/>
        <w:jc w:val="both"/>
      </w:pPr>
      <w:r>
        <w:rPr>
          <w:sz w:val="24"/>
        </w:rPr>
        <w:t xml:space="preserve">216. В случае превышения объемов предоставления и финансового обеспечения медицинской помощи, распределенных медицинской организации решением Комиссии, медицинская организация в течение пяти рабочих дней после получения заключения по результатам медико-экономического контроля обязана обратиться в Комиссию с предложением о перераспределении объемов предоставления и финансового обеспечения медицинской помощи.</w:t>
      </w:r>
    </w:p>
    <w:p>
      <w:pPr>
        <w:pStyle w:val="0"/>
        <w:spacing w:before="240" w:lineRule="auto"/>
        <w:ind w:firstLine="540"/>
        <w:jc w:val="both"/>
      </w:pPr>
      <w:r>
        <w:rPr>
          <w:sz w:val="24"/>
        </w:rPr>
        <w:t xml:space="preserve">217. В соответствии с </w:t>
      </w:r>
      <w:hyperlink w:history="0" r:id="rId181" w:tooltip="Федеральный закон от 29.11.2010 N 326-ФЗ (ред. от 20.02.2026) &quot;Об обязательном медицинском страховании в Российской Федерации&quot; {КонсультантПлюс}">
        <w:r>
          <w:rPr>
            <w:sz w:val="24"/>
            <w:color w:val="0000ff"/>
          </w:rPr>
          <w:t xml:space="preserve">частью 2 статьи 41</w:t>
        </w:r>
      </w:hyperlink>
      <w:r>
        <w:rPr>
          <w:sz w:val="24"/>
        </w:rPr>
        <w:t xml:space="preserve"> Федерального закона взаимные обязательства медицинских организаций и страховых медицинских организаций, следствием которых является возможность неоплаты или неполной оплаты затрат на оказание медицинской помощи, а также уплаты медицинской организацией штрафа за неоказание, несвоевременное оказание либо оказание медицинской помощи ненадлежащего качества, предусматриваются договором на оказание и оплату медицинской помощи по обязательному медицинскому страхованию.</w:t>
      </w:r>
    </w:p>
    <w:p>
      <w:pPr>
        <w:pStyle w:val="0"/>
        <w:spacing w:before="240" w:lineRule="auto"/>
        <w:ind w:firstLine="540"/>
        <w:jc w:val="both"/>
      </w:pPr>
      <w:r>
        <w:rPr>
          <w:sz w:val="24"/>
        </w:rPr>
        <w:t xml:space="preserve">218. Размеры неоплаты, неполной оплаты затрат оказанной медицинской помощи и штрафных санкций, исчисленных и установленных в соответствии с </w:t>
      </w:r>
      <w:hyperlink w:history="0" r:id="rId182" w:tooltip="Федеральный закон от 29.11.2010 N 326-ФЗ (ред. от 20.02.2026) &quot;Об обязательном медицинском страховании в Российской Федерации&quot; {КонсультантПлюс}">
        <w:r>
          <w:rPr>
            <w:sz w:val="24"/>
            <w:color w:val="0000ff"/>
          </w:rPr>
          <w:t xml:space="preserve">частью 2 статьи 41</w:t>
        </w:r>
      </w:hyperlink>
      <w:r>
        <w:rPr>
          <w:sz w:val="24"/>
        </w:rPr>
        <w:t xml:space="preserve"> Федерального закона, устанавливаются в тарифном соглашении, заключаемом в соответствии с </w:t>
      </w:r>
      <w:hyperlink w:history="0" r:id="rId183" w:tooltip="Федеральный закон от 29.11.2010 N 326-ФЗ (ред. от 20.02.2026) &quot;Об обязательном медицинском страховании в Российской Федерации&quot; {КонсультантПлюс}">
        <w:r>
          <w:rPr>
            <w:sz w:val="24"/>
            <w:color w:val="0000ff"/>
          </w:rPr>
          <w:t xml:space="preserve">частью 2 статьи 30</w:t>
        </w:r>
      </w:hyperlink>
      <w:r>
        <w:rPr>
          <w:sz w:val="24"/>
        </w:rPr>
        <w:t xml:space="preserve"> Федерального закона, в соответствии с </w:t>
      </w:r>
      <w:hyperlink w:history="0" w:anchor="P883" w:tooltip="209. Размер неоплаты или неполной оплаты затрат медицинской организации на оказание медицинской помощи (Н) (за исключением случаев применения кода нарушения/дефекта 2.12.1, предусмотренного приложением N 8 к настоящим Правилам) рассчитывается по формуле:">
        <w:r>
          <w:rPr>
            <w:sz w:val="24"/>
            <w:color w:val="0000ff"/>
          </w:rPr>
          <w:t xml:space="preserve">пунктами 209</w:t>
        </w:r>
      </w:hyperlink>
      <w:r>
        <w:rPr>
          <w:sz w:val="24"/>
        </w:rPr>
        <w:t xml:space="preserve"> - </w:t>
      </w:r>
      <w:hyperlink w:history="0" w:anchor="P902" w:tooltip="211. Размер штрафных санкций, применяемых к медицинской организации за неоказание, несвоевременное оказание либо оказание медицинской помощи ненадлежащего качества (Сшт), рассчитывается по формуле:">
        <w:r>
          <w:rPr>
            <w:sz w:val="24"/>
            <w:color w:val="0000ff"/>
          </w:rPr>
          <w:t xml:space="preserve">211</w:t>
        </w:r>
      </w:hyperlink>
      <w:r>
        <w:rPr>
          <w:sz w:val="24"/>
        </w:rPr>
        <w:t xml:space="preserve"> настоящих Правил.</w:t>
      </w:r>
    </w:p>
    <w:p>
      <w:pPr>
        <w:pStyle w:val="0"/>
        <w:spacing w:before="240" w:lineRule="auto"/>
        <w:ind w:firstLine="540"/>
        <w:jc w:val="both"/>
      </w:pPr>
      <w:r>
        <w:rPr>
          <w:sz w:val="24"/>
        </w:rPr>
        <w:t xml:space="preserve">219. В случае превышения объема санкций к медицинским организациям за нарушения, выявленные при проведении контроля объемов, сроков, качества и условий предоставления медицинской помощи, над объемом целевых средств, подлежащим направлению в медицинскую организацию на оплату медицинской помощи (разница между выставленным на оплату счетом и ранее перечисленным авансом), медицинская организация возвращает в страховую медицинскую организацию средства в объеме указанного превышения. При этом счет на оплату медицинской помощи не оплачивается.</w:t>
      </w:r>
    </w:p>
    <w:p>
      <w:pPr>
        <w:pStyle w:val="0"/>
        <w:spacing w:before="240" w:lineRule="auto"/>
        <w:ind w:firstLine="540"/>
        <w:jc w:val="both"/>
      </w:pPr>
      <w:r>
        <w:rPr>
          <w:sz w:val="24"/>
        </w:rPr>
        <w:t xml:space="preserve">220. При принятии медицинской организацией решения об обжаловании заключений страховой медицинской организации и (или) территориального фонда по результатам контроля объемов, сроков, качества и условий предоставления медицинской помощи, предусмотренного </w:t>
      </w:r>
      <w:hyperlink w:history="0" r:id="rId184" w:tooltip="Федеральный закон от 29.11.2010 N 326-ФЗ (ред. от 20.02.2026) &quot;Об обязательном медицинском страховании в Российской Федерации&quot; {КонсультантПлюс}">
        <w:r>
          <w:rPr>
            <w:sz w:val="24"/>
            <w:color w:val="0000ff"/>
          </w:rPr>
          <w:t xml:space="preserve">статьей 42</w:t>
        </w:r>
      </w:hyperlink>
      <w:r>
        <w:rPr>
          <w:sz w:val="24"/>
        </w:rPr>
        <w:t xml:space="preserve"> Федерального закона, средства возвращаются в сроки, предусмотренные процедурой обжалования заключения в соответствии с порядком проведения контроля.</w:t>
      </w:r>
    </w:p>
    <w:p>
      <w:pPr>
        <w:pStyle w:val="0"/>
        <w:spacing w:before="240" w:lineRule="auto"/>
        <w:ind w:firstLine="540"/>
        <w:jc w:val="both"/>
      </w:pPr>
      <w:r>
        <w:rPr>
          <w:sz w:val="24"/>
        </w:rPr>
        <w:t xml:space="preserve">221. В последующие отчетные периоды на сумму средств указанного превышения уменьшается сумма, подлежащая перечислению в медицинскую организацию на основании счета на оплату медицинской помощи с учетом результатов контроля объемов, сроков, качества и условий предоставления медицинской помощи.</w:t>
      </w:r>
    </w:p>
    <w:p>
      <w:pPr>
        <w:pStyle w:val="0"/>
        <w:spacing w:before="240" w:lineRule="auto"/>
        <w:ind w:firstLine="540"/>
        <w:jc w:val="both"/>
      </w:pPr>
      <w:r>
        <w:rPr>
          <w:sz w:val="24"/>
        </w:rPr>
        <w:t xml:space="preserve">222. Средства, возвращенные медицинскими организациями в территориальный фонд на основании актов повторной медико-экономической экспертизы или повторной экспертизы качества медицинской помощи, проведенных территориальным фондом, не увеличивают стоимость территориальной программы.</w:t>
      </w:r>
    </w:p>
    <w:p>
      <w:pPr>
        <w:pStyle w:val="0"/>
        <w:spacing w:before="240" w:lineRule="auto"/>
        <w:ind w:firstLine="540"/>
        <w:jc w:val="both"/>
      </w:pPr>
      <w:r>
        <w:rPr>
          <w:sz w:val="24"/>
        </w:rPr>
        <w:t xml:space="preserve">223. В соответствии с </w:t>
      </w:r>
      <w:hyperlink w:history="0" r:id="rId185" w:tooltip="Федеральный закон от 29.11.2010 N 326-ФЗ (ред. от 20.02.2026) &quot;Об обязательном медицинском страховании в Российской Федерации&quot; {КонсультантПлюс}">
        <w:r>
          <w:rPr>
            <w:sz w:val="24"/>
            <w:color w:val="0000ff"/>
          </w:rPr>
          <w:t xml:space="preserve">частью 9 статьи 39</w:t>
        </w:r>
      </w:hyperlink>
      <w:r>
        <w:rPr>
          <w:sz w:val="24"/>
        </w:rPr>
        <w:t xml:space="preserve"> Федерального закона за использование не по назначению медицинской организацией средств, перечисленных ей по договору на оказание и оплату медицинской помощи по обязательному медицинскому страхованию, медицинская организация уплачивает в бюджет территориального фонда штраф в размере 10 процентов от суммы использованных не по назначению средств и пени в размере одной трехсотой ключевой ставки Центрального банка Российской Федерации, действующей на день предъявления требования территориальным фондом, от суммы использованных не по назначению средств за каждый день просрочки исполнения требований территориального фонда. Средства, использованные не по назначению, медицинская организация возвращает в бюджет территориального фонда в течение десяти рабочих дней со дня предъявления территориальным фондом соответствующего требования.</w:t>
      </w:r>
    </w:p>
    <w:p>
      <w:pPr>
        <w:pStyle w:val="0"/>
        <w:spacing w:before="240" w:lineRule="auto"/>
        <w:ind w:firstLine="540"/>
        <w:jc w:val="both"/>
      </w:pPr>
      <w:r>
        <w:rPr>
          <w:sz w:val="24"/>
        </w:rPr>
        <w:t xml:space="preserve">224. В случае, если судебным решением, принятым по итогам обжалования медицинской организацией результатов контроля качества, объемов, сроков и условий предоставления медицинской помощи, предусмотрен возврат страховой медицинской организацией средств, ранее удержанных с медицинской организации в связи с принятием мер в соответствии со </w:t>
      </w:r>
      <w:hyperlink w:history="0" r:id="rId186" w:tooltip="Федеральный закон от 29.11.2010 N 326-ФЗ (ред. от 20.02.2026) &quot;Об обязательном медицинском страховании в Российской Федерации&quot; {КонсультантПлюс}">
        <w:r>
          <w:rPr>
            <w:sz w:val="24"/>
            <w:color w:val="0000ff"/>
          </w:rPr>
          <w:t xml:space="preserve">статьей 41</w:t>
        </w:r>
      </w:hyperlink>
      <w:r>
        <w:rPr>
          <w:sz w:val="24"/>
        </w:rPr>
        <w:t xml:space="preserve"> Федерального закона, страховая медицинская организация возмещает указанные средства в следующих отчетных периодах.</w:t>
      </w:r>
    </w:p>
    <w:p>
      <w:pPr>
        <w:pStyle w:val="0"/>
        <w:spacing w:before="240" w:lineRule="auto"/>
        <w:ind w:firstLine="540"/>
        <w:jc w:val="both"/>
      </w:pPr>
      <w:r>
        <w:rPr>
          <w:sz w:val="24"/>
        </w:rPr>
        <w:t xml:space="preserve">225. Возмещение средств страховой медицинской организацией осуществляется после получения средств от территориального фонда обязательного медицинского страхования в размере ранее сформированных целевых средств и средств нормированного страхового запаса территориального фонда ранее направленных страховой медицинской организацией в территориальный фонд обязательного медицинского страхования на финансовое обеспечение мероприятий по организации дополнительного профессионального образования медицинских работников по программам повышения квалификации, а также по приобретению и проведению ремонта медицинского оборудования в соответствии со </w:t>
      </w:r>
      <w:hyperlink w:history="0" r:id="rId187" w:tooltip="Федеральный закон от 29.11.2010 N 326-ФЗ (ред. от 20.02.2026) &quot;Об обязательном медицинском страховании в Российской Федерации&quot; {КонсультантПлюс}">
        <w:r>
          <w:rPr>
            <w:sz w:val="24"/>
            <w:color w:val="0000ff"/>
          </w:rPr>
          <w:t xml:space="preserve">статьей 26</w:t>
        </w:r>
      </w:hyperlink>
      <w:r>
        <w:rPr>
          <w:sz w:val="24"/>
        </w:rPr>
        <w:t xml:space="preserve"> Федерального закона и за счет собственных средств страховой медицинской организации в размере ранее сформированных в соответствии со </w:t>
      </w:r>
      <w:hyperlink w:history="0" r:id="rId188" w:tooltip="Федеральный закон от 29.11.2010 N 326-ФЗ (ред. от 20.02.2026) &quot;Об обязательном медицинском страховании в Российской Федерации&quot; {КонсультантПлюс}">
        <w:r>
          <w:rPr>
            <w:sz w:val="24"/>
            <w:color w:val="0000ff"/>
          </w:rPr>
          <w:t xml:space="preserve">статьей 28</w:t>
        </w:r>
      </w:hyperlink>
      <w:r>
        <w:rPr>
          <w:sz w:val="24"/>
        </w:rPr>
        <w:t xml:space="preserve"> Федерального закона.</w:t>
      </w:r>
    </w:p>
    <w:p>
      <w:pPr>
        <w:pStyle w:val="0"/>
        <w:spacing w:before="240" w:lineRule="auto"/>
        <w:ind w:firstLine="540"/>
        <w:jc w:val="both"/>
      </w:pPr>
      <w:r>
        <w:rPr>
          <w:sz w:val="24"/>
        </w:rPr>
        <w:t xml:space="preserve">226. Страховая медицинская организация, получившая от территориального фонда сведения о застрахованном лице, в отношении которого территориальным органом Фонда пенсионного и социального страхования Российской Федерации принято решение об оплате расходов на медицинскую помощь застрахованному лицу непосредственно после произошедшего тяжелого несчастного случая на производстве, за счет средств обязательного социального страхования от несчастных случаев на производстве и профессиональных заболеваний, исключает данный случай оказания медицинской помощи из оплаты за счет средств обязательного медицинского страхования при последующих расчетах с медицинской организацией по результатам проведения территориальным фондом медико-экономического контроля в соответствии с порядком проведения контроля без учета ранее принятых мер по результатам проведенных медико-экономической экспертизы и (или) экспертизы качества медицинской помощи.</w:t>
      </w:r>
    </w:p>
    <w:p>
      <w:pPr>
        <w:pStyle w:val="0"/>
        <w:spacing w:before="240" w:lineRule="auto"/>
        <w:ind w:firstLine="540"/>
        <w:jc w:val="both"/>
      </w:pPr>
      <w:r>
        <w:rPr>
          <w:sz w:val="24"/>
        </w:rPr>
        <w:t xml:space="preserve">227. Медицинская организация и страховая медицинская организация в соответствии с договором на оказание и оплату медицинской помощи по обязательному медицинскому страхованию ежемесячно, на 1 число месяца, следующего за отчетным, а также ежегодно по состоянию на конец финансового года, проводят сверку расчетов и составляют акт, который должен содержать:</w:t>
      </w:r>
    </w:p>
    <w:p>
      <w:pPr>
        <w:pStyle w:val="0"/>
        <w:spacing w:before="240" w:lineRule="auto"/>
        <w:ind w:firstLine="540"/>
        <w:jc w:val="both"/>
      </w:pPr>
      <w:r>
        <w:rPr>
          <w:sz w:val="24"/>
        </w:rPr>
        <w:t xml:space="preserve">1) сумму задолженности страховой медицинской организации на начало отчетного месяца по:</w:t>
      </w:r>
    </w:p>
    <w:p>
      <w:pPr>
        <w:pStyle w:val="0"/>
        <w:spacing w:before="240" w:lineRule="auto"/>
        <w:ind w:firstLine="540"/>
        <w:jc w:val="both"/>
      </w:pPr>
      <w:r>
        <w:rPr>
          <w:sz w:val="24"/>
        </w:rPr>
        <w:t xml:space="preserve">оплате принятых к оплате по результатам медико-экономического контроля счетов на оплату медицинской помощи;</w:t>
      </w:r>
    </w:p>
    <w:p>
      <w:pPr>
        <w:pStyle w:val="0"/>
        <w:spacing w:before="240" w:lineRule="auto"/>
        <w:ind w:firstLine="540"/>
        <w:jc w:val="both"/>
      </w:pPr>
      <w:r>
        <w:rPr>
          <w:sz w:val="24"/>
        </w:rPr>
        <w:t xml:space="preserve">оплате пени за просрочку перечисления средств за оказанную медицинскую помощь;</w:t>
      </w:r>
    </w:p>
    <w:p>
      <w:pPr>
        <w:pStyle w:val="0"/>
        <w:spacing w:before="240" w:lineRule="auto"/>
        <w:ind w:firstLine="540"/>
        <w:jc w:val="both"/>
      </w:pPr>
      <w:r>
        <w:rPr>
          <w:sz w:val="24"/>
        </w:rPr>
        <w:t xml:space="preserve">2) сумму задолженности медицинской организации на начало отчетного месяца по:</w:t>
      </w:r>
    </w:p>
    <w:p>
      <w:pPr>
        <w:pStyle w:val="0"/>
        <w:spacing w:before="240" w:lineRule="auto"/>
        <w:ind w:firstLine="540"/>
        <w:jc w:val="both"/>
      </w:pPr>
      <w:r>
        <w:rPr>
          <w:sz w:val="24"/>
        </w:rPr>
        <w:t xml:space="preserve">оплате штрафов по результатам:</w:t>
      </w:r>
    </w:p>
    <w:p>
      <w:pPr>
        <w:pStyle w:val="0"/>
        <w:spacing w:before="240" w:lineRule="auto"/>
        <w:ind w:firstLine="540"/>
        <w:jc w:val="both"/>
      </w:pPr>
      <w:r>
        <w:rPr>
          <w:sz w:val="24"/>
        </w:rPr>
        <w:t xml:space="preserve">медико-экономического контроля;</w:t>
      </w:r>
    </w:p>
    <w:p>
      <w:pPr>
        <w:pStyle w:val="0"/>
        <w:spacing w:before="240" w:lineRule="auto"/>
        <w:ind w:firstLine="540"/>
        <w:jc w:val="both"/>
      </w:pPr>
      <w:r>
        <w:rPr>
          <w:sz w:val="24"/>
        </w:rPr>
        <w:t xml:space="preserve">медико-экономической экспертизы;</w:t>
      </w:r>
    </w:p>
    <w:p>
      <w:pPr>
        <w:pStyle w:val="0"/>
        <w:spacing w:before="240" w:lineRule="auto"/>
        <w:ind w:firstLine="540"/>
        <w:jc w:val="both"/>
      </w:pPr>
      <w:r>
        <w:rPr>
          <w:sz w:val="24"/>
        </w:rPr>
        <w:t xml:space="preserve">экспертизы качества медицинской помощи;</w:t>
      </w:r>
    </w:p>
    <w:p>
      <w:pPr>
        <w:pStyle w:val="0"/>
        <w:spacing w:before="240" w:lineRule="auto"/>
        <w:ind w:firstLine="540"/>
        <w:jc w:val="both"/>
      </w:pPr>
      <w:r>
        <w:rPr>
          <w:sz w:val="24"/>
        </w:rPr>
        <w:t xml:space="preserve">возврату средств вследствие принятия к медицинской организации мер в соответствии со </w:t>
      </w:r>
      <w:hyperlink w:history="0" r:id="rId189" w:tooltip="Федеральный закон от 29.11.2010 N 326-ФЗ (ред. от 20.02.2026) &quot;Об обязательном медицинском страховании в Российской Федерации&quot; {КонсультантПлюс}">
        <w:r>
          <w:rPr>
            <w:sz w:val="24"/>
            <w:color w:val="0000ff"/>
          </w:rPr>
          <w:t xml:space="preserve">статьей 41</w:t>
        </w:r>
      </w:hyperlink>
      <w:r>
        <w:rPr>
          <w:sz w:val="24"/>
        </w:rPr>
        <w:t xml:space="preserve"> Федерального закона, в том числе по результатам:</w:t>
      </w:r>
    </w:p>
    <w:p>
      <w:pPr>
        <w:pStyle w:val="0"/>
        <w:spacing w:before="240" w:lineRule="auto"/>
        <w:ind w:firstLine="540"/>
        <w:jc w:val="both"/>
      </w:pPr>
      <w:r>
        <w:rPr>
          <w:sz w:val="24"/>
        </w:rPr>
        <w:t xml:space="preserve">медико-экономического контроля;</w:t>
      </w:r>
    </w:p>
    <w:p>
      <w:pPr>
        <w:pStyle w:val="0"/>
        <w:spacing w:before="240" w:lineRule="auto"/>
        <w:ind w:firstLine="540"/>
        <w:jc w:val="both"/>
      </w:pPr>
      <w:r>
        <w:rPr>
          <w:sz w:val="24"/>
        </w:rPr>
        <w:t xml:space="preserve">медико-экономической экспертизы;</w:t>
      </w:r>
    </w:p>
    <w:p>
      <w:pPr>
        <w:pStyle w:val="0"/>
        <w:spacing w:before="240" w:lineRule="auto"/>
        <w:ind w:firstLine="540"/>
        <w:jc w:val="both"/>
      </w:pPr>
      <w:r>
        <w:rPr>
          <w:sz w:val="24"/>
        </w:rPr>
        <w:t xml:space="preserve">экспертизы качества медицинской помощи;</w:t>
      </w:r>
    </w:p>
    <w:p>
      <w:pPr>
        <w:pStyle w:val="0"/>
        <w:spacing w:before="240" w:lineRule="auto"/>
        <w:ind w:firstLine="540"/>
        <w:jc w:val="both"/>
      </w:pPr>
      <w:r>
        <w:rPr>
          <w:sz w:val="24"/>
        </w:rPr>
        <w:t xml:space="preserve">средствам авансирования медицинской помощи, не обеспеченным выставленными счетами на оплату медицинской помощи с учетом контроля качества ее оказания;</w:t>
      </w:r>
    </w:p>
    <w:p>
      <w:pPr>
        <w:pStyle w:val="0"/>
        <w:spacing w:before="240" w:lineRule="auto"/>
        <w:ind w:firstLine="540"/>
        <w:jc w:val="both"/>
      </w:pPr>
      <w:r>
        <w:rPr>
          <w:sz w:val="24"/>
        </w:rPr>
        <w:t xml:space="preserve">3) сумму задолженности медицинской организации на начало отчетного месяца по оплате пени за просрочку оплаты штрафов и возврата средств вследствие принятия к медицинской организации мер в соответствии со </w:t>
      </w:r>
      <w:hyperlink w:history="0" r:id="rId190" w:tooltip="Федеральный закон от 29.11.2010 N 326-ФЗ (ред. от 20.02.2026) &quot;Об обязательном медицинском страховании в Российской Федерации&quot; {КонсультантПлюс}">
        <w:r>
          <w:rPr>
            <w:sz w:val="24"/>
            <w:color w:val="0000ff"/>
          </w:rPr>
          <w:t xml:space="preserve">статьей 41</w:t>
        </w:r>
      </w:hyperlink>
      <w:r>
        <w:rPr>
          <w:sz w:val="24"/>
        </w:rPr>
        <w:t xml:space="preserve"> Федерального закона;</w:t>
      </w:r>
    </w:p>
    <w:p>
      <w:pPr>
        <w:pStyle w:val="0"/>
        <w:spacing w:before="240" w:lineRule="auto"/>
        <w:ind w:firstLine="540"/>
        <w:jc w:val="both"/>
      </w:pPr>
      <w:r>
        <w:rPr>
          <w:sz w:val="24"/>
        </w:rPr>
        <w:t xml:space="preserve">4) общую сумму средств на оплату медицинской помощи по принятым к оплате по результатам медико-экономического контроля счетам за отчетный месяц;</w:t>
      </w:r>
    </w:p>
    <w:p>
      <w:pPr>
        <w:pStyle w:val="0"/>
        <w:spacing w:before="240" w:lineRule="auto"/>
        <w:ind w:firstLine="540"/>
        <w:jc w:val="both"/>
      </w:pPr>
      <w:r>
        <w:rPr>
          <w:sz w:val="24"/>
        </w:rPr>
        <w:t xml:space="preserve">5) сумму средств по заявке на авансирование медицинской помощи, предъявленной медицинской организации;</w:t>
      </w:r>
    </w:p>
    <w:p>
      <w:pPr>
        <w:pStyle w:val="0"/>
        <w:spacing w:before="240" w:lineRule="auto"/>
        <w:ind w:firstLine="540"/>
        <w:jc w:val="both"/>
      </w:pPr>
      <w:r>
        <w:rPr>
          <w:sz w:val="24"/>
        </w:rPr>
        <w:t xml:space="preserve">6) сумму средств на авансирование, принятую к учету страховой медицинской организацией в соответствии с настоящими Правилами;</w:t>
      </w:r>
    </w:p>
    <w:p>
      <w:pPr>
        <w:pStyle w:val="0"/>
        <w:spacing w:before="240" w:lineRule="auto"/>
        <w:ind w:firstLine="540"/>
        <w:jc w:val="both"/>
      </w:pPr>
      <w:r>
        <w:rPr>
          <w:sz w:val="24"/>
        </w:rPr>
        <w:t xml:space="preserve">7) сумму средств, сформированных за нарушения, выявленные по результатам контроля объемов, сроков, качества и условий предоставления медицинской помощи, всего, в том числе по результатам:</w:t>
      </w:r>
    </w:p>
    <w:p>
      <w:pPr>
        <w:pStyle w:val="0"/>
        <w:spacing w:before="240" w:lineRule="auto"/>
        <w:ind w:firstLine="540"/>
        <w:jc w:val="both"/>
      </w:pPr>
      <w:r>
        <w:rPr>
          <w:sz w:val="24"/>
        </w:rPr>
        <w:t xml:space="preserve">медико-экономического контроля;</w:t>
      </w:r>
    </w:p>
    <w:p>
      <w:pPr>
        <w:pStyle w:val="0"/>
        <w:spacing w:before="240" w:lineRule="auto"/>
        <w:ind w:firstLine="540"/>
        <w:jc w:val="both"/>
      </w:pPr>
      <w:r>
        <w:rPr>
          <w:sz w:val="24"/>
        </w:rPr>
        <w:t xml:space="preserve">медико-экономической экспертизы;</w:t>
      </w:r>
    </w:p>
    <w:p>
      <w:pPr>
        <w:pStyle w:val="0"/>
        <w:spacing w:before="240" w:lineRule="auto"/>
        <w:ind w:firstLine="540"/>
        <w:jc w:val="both"/>
      </w:pPr>
      <w:r>
        <w:rPr>
          <w:sz w:val="24"/>
        </w:rPr>
        <w:t xml:space="preserve">экспертизы качества медицинской помощи;</w:t>
      </w:r>
    </w:p>
    <w:p>
      <w:pPr>
        <w:pStyle w:val="0"/>
        <w:spacing w:before="240" w:lineRule="auto"/>
        <w:ind w:firstLine="540"/>
        <w:jc w:val="both"/>
      </w:pPr>
      <w:r>
        <w:rPr>
          <w:sz w:val="24"/>
        </w:rPr>
        <w:t xml:space="preserve">8) сумму штрафов, начисленных за нарушения, выявленные по результатам контроля объемов, сроков, качества и условий предоставления медицинской помощи, всего, в том числе по результатам:</w:t>
      </w:r>
    </w:p>
    <w:p>
      <w:pPr>
        <w:pStyle w:val="0"/>
        <w:spacing w:before="240" w:lineRule="auto"/>
        <w:ind w:firstLine="540"/>
        <w:jc w:val="both"/>
      </w:pPr>
      <w:r>
        <w:rPr>
          <w:sz w:val="24"/>
        </w:rPr>
        <w:t xml:space="preserve">медико-экономического контроля;</w:t>
      </w:r>
    </w:p>
    <w:p>
      <w:pPr>
        <w:pStyle w:val="0"/>
        <w:spacing w:before="240" w:lineRule="auto"/>
        <w:ind w:firstLine="540"/>
        <w:jc w:val="both"/>
      </w:pPr>
      <w:r>
        <w:rPr>
          <w:sz w:val="24"/>
        </w:rPr>
        <w:t xml:space="preserve">медико-экономической экспертизы;</w:t>
      </w:r>
    </w:p>
    <w:p>
      <w:pPr>
        <w:pStyle w:val="0"/>
        <w:spacing w:before="240" w:lineRule="auto"/>
        <w:ind w:firstLine="540"/>
        <w:jc w:val="both"/>
      </w:pPr>
      <w:r>
        <w:rPr>
          <w:sz w:val="24"/>
        </w:rPr>
        <w:t xml:space="preserve">экспертизы качества медицинской помощи;</w:t>
      </w:r>
    </w:p>
    <w:p>
      <w:pPr>
        <w:pStyle w:val="0"/>
        <w:spacing w:before="240" w:lineRule="auto"/>
        <w:ind w:firstLine="540"/>
        <w:jc w:val="both"/>
      </w:pPr>
      <w:r>
        <w:rPr>
          <w:sz w:val="24"/>
        </w:rPr>
        <w:t xml:space="preserve">9) сумму средств, удержанных страховой медицинской организацией:</w:t>
      </w:r>
    </w:p>
    <w:p>
      <w:pPr>
        <w:pStyle w:val="0"/>
        <w:spacing w:before="240" w:lineRule="auto"/>
        <w:ind w:firstLine="540"/>
        <w:jc w:val="both"/>
      </w:pPr>
      <w:r>
        <w:rPr>
          <w:sz w:val="24"/>
        </w:rPr>
        <w:t xml:space="preserve">по результатам контроля объемов, сроков, качества и условий предоставления медицинской помощи, в том числе:</w:t>
      </w:r>
    </w:p>
    <w:p>
      <w:pPr>
        <w:pStyle w:val="0"/>
        <w:spacing w:before="240" w:lineRule="auto"/>
        <w:ind w:firstLine="540"/>
        <w:jc w:val="both"/>
      </w:pPr>
      <w:r>
        <w:rPr>
          <w:sz w:val="24"/>
        </w:rPr>
        <w:t xml:space="preserve">по результатам медико-экономического контроля;</w:t>
      </w:r>
    </w:p>
    <w:p>
      <w:pPr>
        <w:pStyle w:val="0"/>
        <w:spacing w:before="240" w:lineRule="auto"/>
        <w:ind w:firstLine="540"/>
        <w:jc w:val="both"/>
      </w:pPr>
      <w:r>
        <w:rPr>
          <w:sz w:val="24"/>
        </w:rPr>
        <w:t xml:space="preserve">по результатам медико-экономической экспертизы;</w:t>
      </w:r>
    </w:p>
    <w:p>
      <w:pPr>
        <w:pStyle w:val="0"/>
        <w:spacing w:before="240" w:lineRule="auto"/>
        <w:ind w:firstLine="540"/>
        <w:jc w:val="both"/>
      </w:pPr>
      <w:r>
        <w:rPr>
          <w:sz w:val="24"/>
        </w:rPr>
        <w:t xml:space="preserve">по результатам экспертизы качества медицинской помощи;</w:t>
      </w:r>
    </w:p>
    <w:p>
      <w:pPr>
        <w:pStyle w:val="0"/>
        <w:spacing w:before="240" w:lineRule="auto"/>
        <w:ind w:firstLine="540"/>
        <w:jc w:val="both"/>
      </w:pPr>
      <w:r>
        <w:rPr>
          <w:sz w:val="24"/>
        </w:rPr>
        <w:t xml:space="preserve">по средствам на авансирование оказание медицинской помощи в прошлые периоды, не обеспеченным выставленными счетами на оплату медицинской помощи с учетом контроля качества ее оказания;</w:t>
      </w:r>
    </w:p>
    <w:p>
      <w:pPr>
        <w:pStyle w:val="0"/>
        <w:spacing w:before="240" w:lineRule="auto"/>
        <w:ind w:firstLine="540"/>
        <w:jc w:val="both"/>
      </w:pPr>
      <w:r>
        <w:rPr>
          <w:sz w:val="24"/>
        </w:rPr>
        <w:t xml:space="preserve">10) сумму средств, перечисленных медицинской организацией в страховую медицинскую организацию за отчетный месяц:</w:t>
      </w:r>
    </w:p>
    <w:p>
      <w:pPr>
        <w:pStyle w:val="0"/>
        <w:spacing w:before="240" w:lineRule="auto"/>
        <w:ind w:firstLine="540"/>
        <w:jc w:val="both"/>
      </w:pPr>
      <w:r>
        <w:rPr>
          <w:sz w:val="24"/>
        </w:rPr>
        <w:t xml:space="preserve">в связи с принятием к медицинской организации мер в соответствии со </w:t>
      </w:r>
      <w:hyperlink w:history="0" r:id="rId191" w:tooltip="Федеральный закон от 29.11.2010 N 326-ФЗ (ред. от 20.02.2026) &quot;Об обязательном медицинском страховании в Российской Федерации&quot; {КонсультантПлюс}">
        <w:r>
          <w:rPr>
            <w:sz w:val="24"/>
            <w:color w:val="0000ff"/>
          </w:rPr>
          <w:t xml:space="preserve">статьей 41</w:t>
        </w:r>
      </w:hyperlink>
      <w:r>
        <w:rPr>
          <w:sz w:val="24"/>
        </w:rPr>
        <w:t xml:space="preserve"> Федерального закона, в том числе по результатам:</w:t>
      </w:r>
    </w:p>
    <w:p>
      <w:pPr>
        <w:pStyle w:val="0"/>
        <w:spacing w:before="240" w:lineRule="auto"/>
        <w:ind w:firstLine="540"/>
        <w:jc w:val="both"/>
      </w:pPr>
      <w:r>
        <w:rPr>
          <w:sz w:val="24"/>
        </w:rPr>
        <w:t xml:space="preserve">медико-экономического контроля;</w:t>
      </w:r>
    </w:p>
    <w:p>
      <w:pPr>
        <w:pStyle w:val="0"/>
        <w:spacing w:before="240" w:lineRule="auto"/>
        <w:ind w:firstLine="540"/>
        <w:jc w:val="both"/>
      </w:pPr>
      <w:r>
        <w:rPr>
          <w:sz w:val="24"/>
        </w:rPr>
        <w:t xml:space="preserve">медико-экономической экспертизы;</w:t>
      </w:r>
    </w:p>
    <w:p>
      <w:pPr>
        <w:pStyle w:val="0"/>
        <w:spacing w:before="240" w:lineRule="auto"/>
        <w:ind w:firstLine="540"/>
        <w:jc w:val="both"/>
      </w:pPr>
      <w:r>
        <w:rPr>
          <w:sz w:val="24"/>
        </w:rPr>
        <w:t xml:space="preserve">экспертизы качества медицинской помощи;</w:t>
      </w:r>
    </w:p>
    <w:p>
      <w:pPr>
        <w:pStyle w:val="0"/>
        <w:spacing w:before="240" w:lineRule="auto"/>
        <w:ind w:firstLine="540"/>
        <w:jc w:val="both"/>
      </w:pPr>
      <w:r>
        <w:rPr>
          <w:sz w:val="24"/>
        </w:rPr>
        <w:t xml:space="preserve">оплаты штрафов по результатам контроля объемов, сроков, качества и условий предоставления медицинской помощи, в том числе по результатам:</w:t>
      </w:r>
    </w:p>
    <w:p>
      <w:pPr>
        <w:pStyle w:val="0"/>
        <w:spacing w:before="240" w:lineRule="auto"/>
        <w:ind w:firstLine="540"/>
        <w:jc w:val="both"/>
      </w:pPr>
      <w:r>
        <w:rPr>
          <w:sz w:val="24"/>
        </w:rPr>
        <w:t xml:space="preserve">медико-экономического контроля;</w:t>
      </w:r>
    </w:p>
    <w:p>
      <w:pPr>
        <w:pStyle w:val="0"/>
        <w:spacing w:before="240" w:lineRule="auto"/>
        <w:ind w:firstLine="540"/>
        <w:jc w:val="both"/>
      </w:pPr>
      <w:r>
        <w:rPr>
          <w:sz w:val="24"/>
        </w:rPr>
        <w:t xml:space="preserve">медико-экономической экспертизы;</w:t>
      </w:r>
    </w:p>
    <w:p>
      <w:pPr>
        <w:pStyle w:val="0"/>
        <w:spacing w:before="240" w:lineRule="auto"/>
        <w:ind w:firstLine="540"/>
        <w:jc w:val="both"/>
      </w:pPr>
      <w:r>
        <w:rPr>
          <w:sz w:val="24"/>
        </w:rPr>
        <w:t xml:space="preserve">экспертизы качества медицинской помощи;</w:t>
      </w:r>
    </w:p>
    <w:p>
      <w:pPr>
        <w:pStyle w:val="0"/>
        <w:spacing w:before="240" w:lineRule="auto"/>
        <w:ind w:firstLine="540"/>
        <w:jc w:val="both"/>
      </w:pPr>
      <w:r>
        <w:rPr>
          <w:sz w:val="24"/>
        </w:rPr>
        <w:t xml:space="preserve">в связи с превышением сумм авансирования над выставленными счетами на оплату медицинской помощи с учетом контроля качества ее оказания;</w:t>
      </w:r>
    </w:p>
    <w:p>
      <w:pPr>
        <w:pStyle w:val="0"/>
        <w:spacing w:before="240" w:lineRule="auto"/>
        <w:ind w:firstLine="540"/>
        <w:jc w:val="both"/>
      </w:pPr>
      <w:r>
        <w:rPr>
          <w:sz w:val="24"/>
        </w:rPr>
        <w:t xml:space="preserve">11) сумму средств, удержанных по результатам принятия территориальными органами Фонда пенсионного и социального страхования Российской Федерации решения об оплате расходов на медицинскую помощь застрахованному лицу непосредственно после произошедшего тяжелого несчастного случая на производстве;</w:t>
      </w:r>
    </w:p>
    <w:p>
      <w:pPr>
        <w:pStyle w:val="0"/>
        <w:spacing w:before="240" w:lineRule="auto"/>
        <w:ind w:firstLine="540"/>
        <w:jc w:val="both"/>
      </w:pPr>
      <w:r>
        <w:rPr>
          <w:sz w:val="24"/>
        </w:rPr>
        <w:t xml:space="preserve">12) сумму средств, перечисленных страховой медицинской организации в медицинскую организации в отчетном месяце:</w:t>
      </w:r>
    </w:p>
    <w:p>
      <w:pPr>
        <w:pStyle w:val="0"/>
        <w:spacing w:before="240" w:lineRule="auto"/>
        <w:ind w:firstLine="540"/>
        <w:jc w:val="both"/>
      </w:pPr>
      <w:r>
        <w:rPr>
          <w:sz w:val="24"/>
        </w:rPr>
        <w:t xml:space="preserve">по заявке на авансирование;</w:t>
      </w:r>
    </w:p>
    <w:p>
      <w:pPr>
        <w:pStyle w:val="0"/>
        <w:spacing w:before="240" w:lineRule="auto"/>
        <w:ind w:firstLine="540"/>
        <w:jc w:val="both"/>
      </w:pPr>
      <w:r>
        <w:rPr>
          <w:sz w:val="24"/>
        </w:rPr>
        <w:t xml:space="preserve">по счетам на оплату медицинской помощи;</w:t>
      </w:r>
    </w:p>
    <w:p>
      <w:pPr>
        <w:pStyle w:val="0"/>
        <w:spacing w:before="240" w:lineRule="auto"/>
        <w:ind w:firstLine="540"/>
        <w:jc w:val="both"/>
      </w:pPr>
      <w:r>
        <w:rPr>
          <w:sz w:val="24"/>
        </w:rPr>
        <w:t xml:space="preserve">13) сумму начисленных пеней страховой медицинской организации за несвоевременное перечисление средств на:</w:t>
      </w:r>
    </w:p>
    <w:p>
      <w:pPr>
        <w:pStyle w:val="0"/>
        <w:spacing w:before="240" w:lineRule="auto"/>
        <w:ind w:firstLine="540"/>
        <w:jc w:val="both"/>
      </w:pPr>
      <w:r>
        <w:rPr>
          <w:sz w:val="24"/>
        </w:rPr>
        <w:t xml:space="preserve">авансирование оказание медицинской помощи;</w:t>
      </w:r>
    </w:p>
    <w:p>
      <w:pPr>
        <w:pStyle w:val="0"/>
        <w:spacing w:before="240" w:lineRule="auto"/>
        <w:ind w:firstLine="540"/>
        <w:jc w:val="both"/>
      </w:pPr>
      <w:r>
        <w:rPr>
          <w:sz w:val="24"/>
        </w:rPr>
        <w:t xml:space="preserve">оплату медицинской помощи по результатам контроля объемов, сроков, качества и условий предоставления медицинской помощи;</w:t>
      </w:r>
    </w:p>
    <w:p>
      <w:pPr>
        <w:pStyle w:val="0"/>
        <w:spacing w:before="240" w:lineRule="auto"/>
        <w:ind w:firstLine="540"/>
        <w:jc w:val="both"/>
      </w:pPr>
      <w:r>
        <w:rPr>
          <w:sz w:val="24"/>
        </w:rPr>
        <w:t xml:space="preserve">14) сумму начисленных медицинской организации пеней за несвоевременный возврат средств по результатам принятия мер, предусмотренных </w:t>
      </w:r>
      <w:hyperlink w:history="0" r:id="rId192" w:tooltip="Федеральный закон от 29.11.2010 N 326-ФЗ (ред. от 20.02.2026) &quot;Об обязательном медицинском страховании в Российской Федерации&quot; {КонсультантПлюс}">
        <w:r>
          <w:rPr>
            <w:sz w:val="24"/>
            <w:color w:val="0000ff"/>
          </w:rPr>
          <w:t xml:space="preserve">статьей 41</w:t>
        </w:r>
      </w:hyperlink>
      <w:r>
        <w:rPr>
          <w:sz w:val="24"/>
        </w:rPr>
        <w:t xml:space="preserve"> Федерального закона;</w:t>
      </w:r>
    </w:p>
    <w:p>
      <w:pPr>
        <w:pStyle w:val="0"/>
        <w:spacing w:before="240" w:lineRule="auto"/>
        <w:ind w:firstLine="540"/>
        <w:jc w:val="both"/>
      </w:pPr>
      <w:r>
        <w:rPr>
          <w:sz w:val="24"/>
        </w:rPr>
        <w:t xml:space="preserve">15) сумму списанной задолженности медицинской организации в соответствии с решениями, принятыми в соответствии с законодательством Российской Федерации;</w:t>
      </w:r>
    </w:p>
    <w:p>
      <w:pPr>
        <w:pStyle w:val="0"/>
        <w:spacing w:before="240" w:lineRule="auto"/>
        <w:ind w:firstLine="540"/>
        <w:jc w:val="both"/>
      </w:pPr>
      <w:r>
        <w:rPr>
          <w:sz w:val="24"/>
        </w:rPr>
        <w:t xml:space="preserve">16) сумму средств, подлежащих перечислению медицинской организации в соответствии с решениями, принятыми в соответствии с законодательством Российской Федерации;</w:t>
      </w:r>
    </w:p>
    <w:p>
      <w:pPr>
        <w:pStyle w:val="0"/>
        <w:spacing w:before="240" w:lineRule="auto"/>
        <w:ind w:firstLine="540"/>
        <w:jc w:val="both"/>
      </w:pPr>
      <w:r>
        <w:rPr>
          <w:sz w:val="24"/>
        </w:rPr>
        <w:t xml:space="preserve">17) сумму перечисленных страховой медицинской организацией пеней за несвоевременное перечисление средств на оплату медицинской помощи по результатам контроля объемов, сроков, качества и условий предоставления медицинской помощи;</w:t>
      </w:r>
    </w:p>
    <w:p>
      <w:pPr>
        <w:pStyle w:val="0"/>
        <w:spacing w:before="240" w:lineRule="auto"/>
        <w:ind w:firstLine="540"/>
        <w:jc w:val="both"/>
      </w:pPr>
      <w:r>
        <w:rPr>
          <w:sz w:val="24"/>
        </w:rPr>
        <w:t xml:space="preserve">18) сумму перечисленных медицинской организацией пеней за несвоевременный возврат средств по результатам принятия мер, предусмотренных </w:t>
      </w:r>
      <w:hyperlink w:history="0" r:id="rId193" w:tooltip="Федеральный закон от 29.11.2010 N 326-ФЗ (ред. от 20.02.2026) &quot;Об обязательном медицинском страховании в Российской Федерации&quot; {КонсультантПлюс}">
        <w:r>
          <w:rPr>
            <w:sz w:val="24"/>
            <w:color w:val="0000ff"/>
          </w:rPr>
          <w:t xml:space="preserve">статьей 41</w:t>
        </w:r>
      </w:hyperlink>
      <w:r>
        <w:rPr>
          <w:sz w:val="24"/>
        </w:rPr>
        <w:t xml:space="preserve"> Федерального закона;</w:t>
      </w:r>
    </w:p>
    <w:p>
      <w:pPr>
        <w:pStyle w:val="0"/>
        <w:spacing w:before="240" w:lineRule="auto"/>
        <w:ind w:firstLine="540"/>
        <w:jc w:val="both"/>
      </w:pPr>
      <w:r>
        <w:rPr>
          <w:sz w:val="24"/>
        </w:rPr>
        <w:t xml:space="preserve">19) сумму задолженности страховой медицинской организации на конец отчетного периода по оплате:</w:t>
      </w:r>
    </w:p>
    <w:p>
      <w:pPr>
        <w:pStyle w:val="0"/>
        <w:spacing w:before="240" w:lineRule="auto"/>
        <w:ind w:firstLine="540"/>
        <w:jc w:val="both"/>
      </w:pPr>
      <w:r>
        <w:rPr>
          <w:sz w:val="24"/>
        </w:rPr>
        <w:t xml:space="preserve">выставленных счетов на оплату медицинской помощи с учетом результатов контроля объемов, сроков, качества и условий предоставления медицинской помощи;</w:t>
      </w:r>
    </w:p>
    <w:p>
      <w:pPr>
        <w:pStyle w:val="0"/>
        <w:spacing w:before="240" w:lineRule="auto"/>
        <w:ind w:firstLine="540"/>
        <w:jc w:val="both"/>
      </w:pPr>
      <w:r>
        <w:rPr>
          <w:sz w:val="24"/>
        </w:rPr>
        <w:t xml:space="preserve">пени за просрочку перечисления средств за оказанную медицинскую помощь;</w:t>
      </w:r>
    </w:p>
    <w:p>
      <w:pPr>
        <w:pStyle w:val="0"/>
        <w:spacing w:before="240" w:lineRule="auto"/>
        <w:ind w:firstLine="540"/>
        <w:jc w:val="both"/>
      </w:pPr>
      <w:r>
        <w:rPr>
          <w:sz w:val="24"/>
        </w:rPr>
        <w:t xml:space="preserve">20) сумму задолженности медицинской организации на конец отчетного месяца по:</w:t>
      </w:r>
    </w:p>
    <w:p>
      <w:pPr>
        <w:pStyle w:val="0"/>
        <w:spacing w:before="240" w:lineRule="auto"/>
        <w:ind w:firstLine="540"/>
        <w:jc w:val="both"/>
      </w:pPr>
      <w:r>
        <w:rPr>
          <w:sz w:val="24"/>
        </w:rPr>
        <w:t xml:space="preserve">оплате штрафов по результатам:</w:t>
      </w:r>
    </w:p>
    <w:p>
      <w:pPr>
        <w:pStyle w:val="0"/>
        <w:spacing w:before="240" w:lineRule="auto"/>
        <w:ind w:firstLine="540"/>
        <w:jc w:val="both"/>
      </w:pPr>
      <w:r>
        <w:rPr>
          <w:sz w:val="24"/>
        </w:rPr>
        <w:t xml:space="preserve">медико-экономического контроля;</w:t>
      </w:r>
    </w:p>
    <w:p>
      <w:pPr>
        <w:pStyle w:val="0"/>
        <w:spacing w:before="240" w:lineRule="auto"/>
        <w:ind w:firstLine="540"/>
        <w:jc w:val="both"/>
      </w:pPr>
      <w:r>
        <w:rPr>
          <w:sz w:val="24"/>
        </w:rPr>
        <w:t xml:space="preserve">медико-экономической экспертизы;</w:t>
      </w:r>
    </w:p>
    <w:p>
      <w:pPr>
        <w:pStyle w:val="0"/>
        <w:spacing w:before="240" w:lineRule="auto"/>
        <w:ind w:firstLine="540"/>
        <w:jc w:val="both"/>
      </w:pPr>
      <w:r>
        <w:rPr>
          <w:sz w:val="24"/>
        </w:rPr>
        <w:t xml:space="preserve">экспертизы качества медицинской помощи;</w:t>
      </w:r>
    </w:p>
    <w:p>
      <w:pPr>
        <w:pStyle w:val="0"/>
        <w:spacing w:before="240" w:lineRule="auto"/>
        <w:ind w:firstLine="540"/>
        <w:jc w:val="both"/>
      </w:pPr>
      <w:r>
        <w:rPr>
          <w:sz w:val="24"/>
        </w:rPr>
        <w:t xml:space="preserve">возврату средств вследствие принятия к медицинской организации мер в соответствии со </w:t>
      </w:r>
      <w:hyperlink w:history="0" r:id="rId194" w:tooltip="Федеральный закон от 29.11.2010 N 326-ФЗ (ред. от 20.02.2026) &quot;Об обязательном медицинском страховании в Российской Федерации&quot; {КонсультантПлюс}">
        <w:r>
          <w:rPr>
            <w:sz w:val="24"/>
            <w:color w:val="0000ff"/>
          </w:rPr>
          <w:t xml:space="preserve">статьей 41</w:t>
        </w:r>
      </w:hyperlink>
      <w:r>
        <w:rPr>
          <w:sz w:val="24"/>
        </w:rPr>
        <w:t xml:space="preserve"> Федерального закона, по результатам:</w:t>
      </w:r>
    </w:p>
    <w:p>
      <w:pPr>
        <w:pStyle w:val="0"/>
        <w:spacing w:before="240" w:lineRule="auto"/>
        <w:ind w:firstLine="540"/>
        <w:jc w:val="both"/>
      </w:pPr>
      <w:r>
        <w:rPr>
          <w:sz w:val="24"/>
        </w:rPr>
        <w:t xml:space="preserve">медико-экономического контроля;</w:t>
      </w:r>
    </w:p>
    <w:p>
      <w:pPr>
        <w:pStyle w:val="0"/>
        <w:spacing w:before="240" w:lineRule="auto"/>
        <w:ind w:firstLine="540"/>
        <w:jc w:val="both"/>
      </w:pPr>
      <w:r>
        <w:rPr>
          <w:sz w:val="24"/>
        </w:rPr>
        <w:t xml:space="preserve">медико-экономической экспертизы;</w:t>
      </w:r>
    </w:p>
    <w:p>
      <w:pPr>
        <w:pStyle w:val="0"/>
        <w:spacing w:before="240" w:lineRule="auto"/>
        <w:ind w:firstLine="540"/>
        <w:jc w:val="both"/>
      </w:pPr>
      <w:r>
        <w:rPr>
          <w:sz w:val="24"/>
        </w:rPr>
        <w:t xml:space="preserve">экспертизы качества медицинской помощи;</w:t>
      </w:r>
    </w:p>
    <w:p>
      <w:pPr>
        <w:pStyle w:val="0"/>
        <w:spacing w:before="240" w:lineRule="auto"/>
        <w:ind w:firstLine="540"/>
        <w:jc w:val="both"/>
      </w:pPr>
      <w:r>
        <w:rPr>
          <w:sz w:val="24"/>
        </w:rPr>
        <w:t xml:space="preserve">средствам авансирования медицинской помощи, не обеспеченным выставленными счетами на оплату медицинской помощи с учетом контроля объемов, сроков, качества и условий предоставления медицинской помощи;</w:t>
      </w:r>
    </w:p>
    <w:p>
      <w:pPr>
        <w:pStyle w:val="0"/>
        <w:spacing w:before="240" w:lineRule="auto"/>
        <w:ind w:firstLine="540"/>
        <w:jc w:val="both"/>
      </w:pPr>
      <w:r>
        <w:rPr>
          <w:sz w:val="24"/>
        </w:rPr>
        <w:t xml:space="preserve">оплате пеней за просрочку оплаты штрафов и возврата средств вследствие принятия к медицинской организации мер в соответствии со </w:t>
      </w:r>
      <w:hyperlink w:history="0" r:id="rId195" w:tooltip="Федеральный закон от 29.11.2010 N 326-ФЗ (ред. от 20.02.2026) &quot;Об обязательном медицинском страховании в Российской Федерации&quot; {КонсультантПлюс}">
        <w:r>
          <w:rPr>
            <w:sz w:val="24"/>
            <w:color w:val="0000ff"/>
          </w:rPr>
          <w:t xml:space="preserve">статьей 41</w:t>
        </w:r>
      </w:hyperlink>
      <w:r>
        <w:rPr>
          <w:sz w:val="24"/>
        </w:rPr>
        <w:t xml:space="preserve"> Федерального закона;</w:t>
      </w:r>
    </w:p>
    <w:p>
      <w:pPr>
        <w:pStyle w:val="0"/>
        <w:spacing w:before="240" w:lineRule="auto"/>
        <w:ind w:firstLine="540"/>
        <w:jc w:val="both"/>
      </w:pPr>
      <w:r>
        <w:rPr>
          <w:sz w:val="24"/>
        </w:rPr>
        <w:t xml:space="preserve">21) сумму задолженности медицинской организации на конец отчетного месяца по оплате пени за просрочку оплаты штрафов и возврату средств вследствие принятия к медицинской организации мер в соответствии со </w:t>
      </w:r>
      <w:hyperlink w:history="0" r:id="rId196" w:tooltip="Федеральный закон от 29.11.2010 N 326-ФЗ (ред. от 20.02.2026) &quot;Об обязательном медицинском страховании в Российской Федерации&quot; {КонсультантПлюс}">
        <w:r>
          <w:rPr>
            <w:sz w:val="24"/>
            <w:color w:val="0000ff"/>
          </w:rPr>
          <w:t xml:space="preserve">статьей 41</w:t>
        </w:r>
      </w:hyperlink>
      <w:r>
        <w:rPr>
          <w:sz w:val="24"/>
        </w:rPr>
        <w:t xml:space="preserve"> Федерального закона.</w:t>
      </w:r>
    </w:p>
    <w:p>
      <w:pPr>
        <w:pStyle w:val="0"/>
        <w:spacing w:before="240" w:lineRule="auto"/>
        <w:ind w:firstLine="540"/>
        <w:jc w:val="both"/>
      </w:pPr>
      <w:r>
        <w:rPr>
          <w:sz w:val="24"/>
        </w:rPr>
        <w:t xml:space="preserve">228. Акт подписывается руководителем и главным бухгалтером страховой медицинской организации (или иным должностным лицом, на которое возлагается ведение бухгалтерского учета), руководителем и главным бухгалтером медицинской организации (или иным должностным лицом, на которое возлагается ведение бухгалтерского учета) и при формировании акта в форме документа на бумажном носителе - заверяется печатями страховой медицинской организации и медицинской организации (при наличии).</w:t>
      </w:r>
    </w:p>
    <w:p>
      <w:pPr>
        <w:pStyle w:val="0"/>
        <w:spacing w:before="240" w:lineRule="auto"/>
        <w:ind w:firstLine="540"/>
        <w:jc w:val="both"/>
      </w:pPr>
      <w:r>
        <w:rPr>
          <w:sz w:val="24"/>
        </w:rPr>
        <w:t xml:space="preserve">229. Для медицинской организации, включенной в реестр медицинских организаций, участвующих в реализации территориальной программы субъекта Российской Федерации по месту фактического оказания медицинской организацией медицинской помощи, и оказывающей медицинскую помощь в рамках реализации территориальной программы другого субъекта Российской Федерации (далее - второй субъект Российской Федерации), при оплате медицинской помощи, оказанной лицам, полис которым выдан во втором субъекте Российской Федерации, применяются тарифы на оплату медицинской помощи по обязательному медицинскому страхованию, установленные для данной медицинской организации в заключаемом в соответствии со </w:t>
      </w:r>
      <w:hyperlink w:history="0" r:id="rId197" w:tooltip="Федеральный закон от 29.11.2010 N 326-ФЗ (ред. от 20.02.2026) &quot;Об обязательном медицинском страховании в Российской Федерации&quot; {КонсультантПлюс}">
        <w:r>
          <w:rPr>
            <w:sz w:val="24"/>
            <w:color w:val="0000ff"/>
          </w:rPr>
          <w:t xml:space="preserve">статьей 30</w:t>
        </w:r>
      </w:hyperlink>
      <w:r>
        <w:rPr>
          <w:sz w:val="24"/>
        </w:rPr>
        <w:t xml:space="preserve"> Федерального закона тарифном соглашении субъекта Российской Федерации по месту оказания медицинской помощи.</w:t>
      </w:r>
    </w:p>
    <w:p>
      <w:pPr>
        <w:pStyle w:val="0"/>
        <w:jc w:val="both"/>
      </w:pPr>
      <w:r>
        <w:rPr>
          <w:sz w:val="24"/>
        </w:rPr>
      </w:r>
    </w:p>
    <w:p>
      <w:pPr>
        <w:pStyle w:val="2"/>
        <w:outlineLvl w:val="1"/>
        <w:jc w:val="center"/>
      </w:pPr>
      <w:r>
        <w:rPr>
          <w:sz w:val="24"/>
        </w:rPr>
        <w:t xml:space="preserve">IX. Осуществление расчетов за медицинскую помощь,</w:t>
      </w:r>
    </w:p>
    <w:p>
      <w:pPr>
        <w:pStyle w:val="2"/>
        <w:jc w:val="center"/>
      </w:pPr>
      <w:r>
        <w:rPr>
          <w:sz w:val="24"/>
        </w:rPr>
        <w:t xml:space="preserve">оказанную застрахованным лицам за пределами территории</w:t>
      </w:r>
    </w:p>
    <w:p>
      <w:pPr>
        <w:pStyle w:val="2"/>
        <w:jc w:val="center"/>
      </w:pPr>
      <w:r>
        <w:rPr>
          <w:sz w:val="24"/>
        </w:rPr>
        <w:t xml:space="preserve">субъекта Российской Федерации, в котором выдан полис</w:t>
      </w:r>
    </w:p>
    <w:p>
      <w:pPr>
        <w:pStyle w:val="2"/>
        <w:jc w:val="center"/>
      </w:pPr>
      <w:r>
        <w:rPr>
          <w:sz w:val="24"/>
        </w:rPr>
        <w:t xml:space="preserve">обязательного медицинского страхования</w:t>
      </w:r>
    </w:p>
    <w:p>
      <w:pPr>
        <w:pStyle w:val="0"/>
        <w:jc w:val="both"/>
      </w:pPr>
      <w:r>
        <w:rPr>
          <w:sz w:val="24"/>
        </w:rPr>
      </w:r>
    </w:p>
    <w:p>
      <w:pPr>
        <w:pStyle w:val="0"/>
        <w:ind w:firstLine="540"/>
        <w:jc w:val="both"/>
      </w:pPr>
      <w:r>
        <w:rPr>
          <w:sz w:val="24"/>
        </w:rPr>
        <w:t xml:space="preserve">230. Территориальный фонд по месту оказания медицинской помощи осуществляет расчеты за медицинскую помощь, оказанную застрахованным лицам за пределами территории субъекта Российской Федерации, в котором им выдан полис, в объеме, установленном базовой программой, не позднее двадцати пяти дней с даты представления медицинской организацией счета и реестра на оплату указанной медицинской помощи с учетом результатов контроля объемов, сроков, качества и условий предоставления медицинской помощи.</w:t>
      </w:r>
    </w:p>
    <w:p>
      <w:pPr>
        <w:pStyle w:val="0"/>
        <w:spacing w:before="240" w:lineRule="auto"/>
        <w:ind w:firstLine="540"/>
        <w:jc w:val="both"/>
      </w:pPr>
      <w:r>
        <w:rPr>
          <w:sz w:val="24"/>
        </w:rPr>
        <w:t xml:space="preserve">231. Территориальный фонд субъекта Российской Федерации, в котором застрахованному лицу выдан полис (далее - территориальный фонд по месту страхования), осуществляет возмещение средств территориальному фонду по месту оказания медицинской помощи не позднее двадцати пяти дней с даты получения счета, предъявленного территориальным фондом по месту оказания медицинской помощи (далее - счет по межтерриториальным расчетам), в соответствии с тарифами на оплату медицинской помощи, установленными для медицинской организации, оказавшей медицинскую помощь, с учетом результатов контроля объемов, сроков, качества и условий предоставления медицинской помощи.</w:t>
      </w:r>
    </w:p>
    <w:p>
      <w:pPr>
        <w:pStyle w:val="0"/>
        <w:spacing w:before="240" w:lineRule="auto"/>
        <w:ind w:firstLine="540"/>
        <w:jc w:val="both"/>
      </w:pPr>
      <w:r>
        <w:rPr>
          <w:sz w:val="24"/>
        </w:rPr>
        <w:t xml:space="preserve">232. Территориальный фонд субъекта Российской Федерации по месту оказания медицинской помощи принимает меры по исключению оплаты за счет средств обязательного медицинского страхования медицинской помощи, оказанной застрахованным лицам за пределами территории субъекта Российской Федерации, в котором им выданы полисы (далее - за пределами территории страхования), непосредственно после произошедшего тяжелого несчастного случая на производстве.</w:t>
      </w:r>
    </w:p>
    <w:p>
      <w:pPr>
        <w:pStyle w:val="0"/>
        <w:spacing w:before="240" w:lineRule="auto"/>
        <w:ind w:firstLine="540"/>
        <w:jc w:val="both"/>
      </w:pPr>
      <w:r>
        <w:rPr>
          <w:sz w:val="24"/>
        </w:rPr>
        <w:t xml:space="preserve">233. Территориальные фонды осуществляют расчеты за медицинскую помощь, оказанную застрахованным лицам за пределами территории страхования, в объеме, установленном базовой программой (далее - межтерриториальные расчеты), за счет средств нормированного страхового запаса территориального фонда.</w:t>
      </w:r>
    </w:p>
    <w:bookmarkStart w:id="1006" w:name="P1006"/>
    <w:bookmarkEnd w:id="1006"/>
    <w:p>
      <w:pPr>
        <w:pStyle w:val="0"/>
        <w:spacing w:before="240" w:lineRule="auto"/>
        <w:ind w:firstLine="540"/>
        <w:jc w:val="both"/>
      </w:pPr>
      <w:r>
        <w:rPr>
          <w:sz w:val="24"/>
        </w:rPr>
        <w:t xml:space="preserve">234. При осуществлении расчетов за медицинскую помощь, оказанную застрахованным лицам за пределами территории страхования, информационный обмен осуществляется в электронном виде в соответствии с </w:t>
      </w:r>
      <w:hyperlink w:history="0" r:id="rId198" w:tooltip="Приказ ФФОМС от 07.04.2011 N 79 (ред. от 16.11.2021) &quot;Об утверждении Общих принципов построения и функционирования информационных систем в сфере обязательного медицинского страхования&quot; {КонсультантПлюс}">
        <w:r>
          <w:rPr>
            <w:sz w:val="24"/>
            <w:color w:val="0000ff"/>
          </w:rPr>
          <w:t xml:space="preserve">общими принципами</w:t>
        </w:r>
      </w:hyperlink>
      <w:r>
        <w:rPr>
          <w:sz w:val="24"/>
        </w:rPr>
        <w:t xml:space="preserve"> построения и функционирования информационных систем и порядком информационного взаимодействия в сфере обязательного медицинского страхования, определяемыми Федеральным фондом в соответствии с </w:t>
      </w:r>
      <w:hyperlink w:history="0" r:id="rId199" w:tooltip="Федеральный закон от 29.11.2010 N 326-ФЗ (ред. от 20.02.2026) &quot;Об обязательном медицинском страховании в Российской Федерации&quot; {КонсультантПлюс}">
        <w:r>
          <w:rPr>
            <w:sz w:val="24"/>
            <w:color w:val="0000ff"/>
          </w:rPr>
          <w:t xml:space="preserve">пунктом 8 части 8 статьи 33</w:t>
        </w:r>
      </w:hyperlink>
      <w:r>
        <w:rPr>
          <w:sz w:val="24"/>
        </w:rPr>
        <w:t xml:space="preserve"> Федерального закона (далее - порядок информационного взаимодействия).</w:t>
      </w:r>
    </w:p>
    <w:p>
      <w:pPr>
        <w:pStyle w:val="0"/>
        <w:spacing w:before="240" w:lineRule="auto"/>
        <w:ind w:firstLine="540"/>
        <w:jc w:val="both"/>
      </w:pPr>
      <w:r>
        <w:rPr>
          <w:sz w:val="24"/>
        </w:rPr>
        <w:t xml:space="preserve">235. При отсутствии технической возможности осуществления информационного обмена, указанного в </w:t>
      </w:r>
      <w:hyperlink w:history="0" w:anchor="P1006" w:tooltip="234. При осуществлении расчетов за медицинскую помощь, оказанную застрахованным лицам за пределами территории страхования, информационный обмен осуществляется в электронном виде в соответствии с общими принципами построения и функционирования информационных систем и порядком информационного взаимодействия в сфере обязательного медицинского страхования, определяемыми Федеральным фондом в соответствии с пунктом 8 части 8 статьи 33 Федерального закона (далее - порядок информационного взаимодействия).">
        <w:r>
          <w:rPr>
            <w:sz w:val="24"/>
            <w:color w:val="0000ff"/>
          </w:rPr>
          <w:t xml:space="preserve">пункте 234</w:t>
        </w:r>
      </w:hyperlink>
      <w:r>
        <w:rPr>
          <w:sz w:val="24"/>
        </w:rPr>
        <w:t xml:space="preserve"> настоящих Правил, в электронном виде, подтвержденной Федеральным фондом, обмен осуществляется в форме документа на бумажном носителе, с внесением в государственную информационную систему обязательного медицинского страхования сведений, направленных в форме документа на бумажном носителе не позднее трех рабочих дней со дня размещения Федеральным фондом на официальном сайте Федерального фонда информации об обеспечении технической возможности осуществления обмена в электронном виде.</w:t>
      </w:r>
    </w:p>
    <w:p>
      <w:pPr>
        <w:pStyle w:val="0"/>
        <w:spacing w:before="240" w:lineRule="auto"/>
        <w:ind w:firstLine="540"/>
        <w:jc w:val="both"/>
      </w:pPr>
      <w:r>
        <w:rPr>
          <w:sz w:val="24"/>
        </w:rPr>
        <w:t xml:space="preserve">236. Медицинская организация формирует в соответствии с </w:t>
      </w:r>
      <w:hyperlink w:history="0" w:anchor="P835" w:tooltip="200. Счет на оплату медицинской помощи должен содержать следующие сведения:">
        <w:r>
          <w:rPr>
            <w:sz w:val="24"/>
            <w:color w:val="0000ff"/>
          </w:rPr>
          <w:t xml:space="preserve">пунктами 200</w:t>
        </w:r>
      </w:hyperlink>
      <w:r>
        <w:rPr>
          <w:sz w:val="24"/>
        </w:rPr>
        <w:t xml:space="preserve"> и </w:t>
      </w:r>
      <w:hyperlink w:history="0" w:anchor="P843" w:tooltip="201. Реестр счета должен содержать следующие сведения:">
        <w:r>
          <w:rPr>
            <w:sz w:val="24"/>
            <w:color w:val="0000ff"/>
          </w:rPr>
          <w:t xml:space="preserve">201</w:t>
        </w:r>
      </w:hyperlink>
      <w:r>
        <w:rPr>
          <w:sz w:val="24"/>
        </w:rPr>
        <w:t xml:space="preserve"> настоящих Правил и направляет счета и реестры счетов на оплату медицинской помощи, оказанной застрахованным лицам за пределами территории страхования, в территориальный фонд по месту оказания медицинской помощи не позднее пяти рабочих дней месяца, следующего за месяцем завершения оказания медицинской помощи.</w:t>
      </w:r>
    </w:p>
    <w:p>
      <w:pPr>
        <w:pStyle w:val="0"/>
        <w:spacing w:before="240" w:lineRule="auto"/>
        <w:ind w:firstLine="540"/>
        <w:jc w:val="both"/>
      </w:pPr>
      <w:r>
        <w:rPr>
          <w:sz w:val="24"/>
        </w:rPr>
        <w:t xml:space="preserve">237. Территориальный фонд по месту оказания медицинской помощи в течение 10 рабочих дней со дня представления медицинской организацией счета и реестра счета на оплату медицинской помощи проводит медико-экономический контроль предъявленного медицинской организацией счета и реестра счета и при отсутствии дефектов и нарушений, предусмотренных порядком проведения контроля (далее - причины), требующих отклонения счета и реестра счета на оплату медицинской помощи, осуществляет включение счета и реестра счета на оплату медицинской помощи в счет по межтерриториальным расчетам, формируемый в соответствии с </w:t>
      </w:r>
      <w:hyperlink w:history="0" w:anchor="P1019" w:tooltip="247. Счет по межтерриториальным расчетам должен содержать в том числе следующие сведения:">
        <w:r>
          <w:rPr>
            <w:sz w:val="24"/>
            <w:color w:val="0000ff"/>
          </w:rPr>
          <w:t xml:space="preserve">пунктом 247</w:t>
        </w:r>
      </w:hyperlink>
      <w:r>
        <w:rPr>
          <w:sz w:val="24"/>
        </w:rPr>
        <w:t xml:space="preserve"> настоящих Правил, и направление его с приложением счета и реестра счета на оплату медицинской помощи в территориальный фонд по месту страхования.</w:t>
      </w:r>
    </w:p>
    <w:p>
      <w:pPr>
        <w:pStyle w:val="0"/>
        <w:spacing w:before="240" w:lineRule="auto"/>
        <w:ind w:firstLine="540"/>
        <w:jc w:val="both"/>
      </w:pPr>
      <w:r>
        <w:rPr>
          <w:sz w:val="24"/>
        </w:rPr>
        <w:t xml:space="preserve">238. В случае обнаружения после проведения медико-экономического контроля причин, требующих дополнительного рассмотрения реестра счета на оплату медицинской помощи посредством проведения медико-экономической экспертизы и/или экспертизы качества медицинской помощи, ее (их) проведение осуществляется в соответствии с порядком проведения контроля.</w:t>
      </w:r>
    </w:p>
    <w:p>
      <w:pPr>
        <w:pStyle w:val="0"/>
        <w:spacing w:before="240" w:lineRule="auto"/>
        <w:ind w:firstLine="540"/>
        <w:jc w:val="both"/>
      </w:pPr>
      <w:r>
        <w:rPr>
          <w:sz w:val="24"/>
        </w:rPr>
        <w:t xml:space="preserve">239. В уведомлении об организации проведения совместной медико-экономической экспертизы и/или экспертизы качества медицинской помощи указываются предложения по кандидатуре специалиста-эксперта и/или эксперта качества медицинской помощи.</w:t>
      </w:r>
    </w:p>
    <w:p>
      <w:pPr>
        <w:pStyle w:val="0"/>
        <w:spacing w:before="240" w:lineRule="auto"/>
        <w:ind w:firstLine="540"/>
        <w:jc w:val="both"/>
      </w:pPr>
      <w:r>
        <w:rPr>
          <w:sz w:val="24"/>
        </w:rPr>
        <w:t xml:space="preserve">240. Территориальный фонд по месту страхования не позднее двадцати пяти дней со дня получения от территориального фонда по месту оказания медицинской помощи счета по межтерриториальным расчетам и прилагаемых к нему счетов и реестров счетов на оплату медицинской помощи осуществляет возмещение затрат территориального фонда на оплату медицинской помощи в соответствии с суммой, указанной в счете по межтерриториальным расчетам.</w:t>
      </w:r>
    </w:p>
    <w:p>
      <w:pPr>
        <w:pStyle w:val="0"/>
        <w:spacing w:before="240" w:lineRule="auto"/>
        <w:ind w:firstLine="540"/>
        <w:jc w:val="both"/>
      </w:pPr>
      <w:r>
        <w:rPr>
          <w:sz w:val="24"/>
        </w:rPr>
        <w:t xml:space="preserve">241. По результатам контроля объемов, сроков, качества и условий предоставления медицинской помощи в соответствии с </w:t>
      </w:r>
      <w:hyperlink w:history="0" r:id="rId200" w:tooltip="Федеральный закон от 29.11.2010 N 326-ФЗ (ред. от 20.02.2026) &quot;Об обязательном медицинском страховании в Российской Федерации&quot; {КонсультантПлюс}">
        <w:r>
          <w:rPr>
            <w:sz w:val="24"/>
            <w:color w:val="0000ff"/>
          </w:rPr>
          <w:t xml:space="preserve">пунктом 10 статьи 40</w:t>
        </w:r>
      </w:hyperlink>
      <w:r>
        <w:rPr>
          <w:sz w:val="24"/>
        </w:rPr>
        <w:t xml:space="preserve"> Федерального закона применяются меры, предусмотренные </w:t>
      </w:r>
      <w:hyperlink w:history="0" r:id="rId201" w:tooltip="Федеральный закон от 29.11.2010 N 326-ФЗ (ред. от 20.02.2026) &quot;Об обязательном медицинском страховании в Российской Федерации&quot; {КонсультантПлюс}">
        <w:r>
          <w:rPr>
            <w:sz w:val="24"/>
            <w:color w:val="0000ff"/>
          </w:rPr>
          <w:t xml:space="preserve">статьей 41</w:t>
        </w:r>
      </w:hyperlink>
      <w:r>
        <w:rPr>
          <w:sz w:val="24"/>
        </w:rPr>
        <w:t xml:space="preserve"> Федерального закона и условиями договора на оказание и оплату медицинской помощи по обязательному медицинскому страхованию.</w:t>
      </w:r>
    </w:p>
    <w:p>
      <w:pPr>
        <w:pStyle w:val="0"/>
        <w:spacing w:before="240" w:lineRule="auto"/>
        <w:ind w:firstLine="540"/>
        <w:jc w:val="both"/>
      </w:pPr>
      <w:r>
        <w:rPr>
          <w:sz w:val="24"/>
        </w:rPr>
        <w:t xml:space="preserve">242. Территориальный фонд по месту оказания медицинской помощи осуществляет направление сведений о результатах проведения медико-экономической экспертизы и/или экспертизы качества медицинской помощи медицинской организации и в территориальный фонд по месту страхования.</w:t>
      </w:r>
    </w:p>
    <w:p>
      <w:pPr>
        <w:pStyle w:val="0"/>
        <w:spacing w:before="240" w:lineRule="auto"/>
        <w:ind w:firstLine="540"/>
        <w:jc w:val="both"/>
      </w:pPr>
      <w:r>
        <w:rPr>
          <w:sz w:val="24"/>
        </w:rPr>
        <w:t xml:space="preserve">243. Возврат средств территориальным фондом по месту оказания медицинской помощи в территориальный фонд по месту страхования осуществляется путем уменьшения сумм, выставленных в счете по межтерриториальным расчетам, или путем перечисления указанных средств в территориальный фонд по месту страхования. Возврат средств оформляется территориальным фондом по месту оказания медицинской помощи уведомлением о возврате средств, которое прилагается к счету по межтерриториальным расчетам.</w:t>
      </w:r>
    </w:p>
    <w:p>
      <w:pPr>
        <w:pStyle w:val="0"/>
        <w:spacing w:before="240" w:lineRule="auto"/>
        <w:ind w:firstLine="540"/>
        <w:jc w:val="both"/>
      </w:pPr>
      <w:r>
        <w:rPr>
          <w:sz w:val="24"/>
        </w:rPr>
        <w:t xml:space="preserve">244. В случае, если судебным решением, принятым по итогам обжалования медицинской организацией результатов контроля качества, объемов, сроков и условий предоставления медицинской помощи, предусмотрен возврат медицинской организацией средств, ранее взысканных с нее в связи с принятием мер в соответствии со </w:t>
      </w:r>
      <w:hyperlink w:history="0" r:id="rId202" w:tooltip="Федеральный закон от 29.11.2010 N 326-ФЗ (ред. от 20.02.2026) &quot;Об обязательном медицинском страховании в Российской Федерации&quot; {КонсультантПлюс}">
        <w:r>
          <w:rPr>
            <w:sz w:val="24"/>
            <w:color w:val="0000ff"/>
          </w:rPr>
          <w:t xml:space="preserve">статьей 41</w:t>
        </w:r>
      </w:hyperlink>
      <w:r>
        <w:rPr>
          <w:sz w:val="24"/>
        </w:rPr>
        <w:t xml:space="preserve"> Федерального закона, территориальный фонд по месту страхования осуществляет возмещение территориальному фонду по месту оказания медицинской помощи указанных средств после получения от территориального фонда по месту оказания медицинской помощи уведомления о восстановлении средств, взысканных вследствие принятия мер в соответствии со </w:t>
      </w:r>
      <w:hyperlink w:history="0" r:id="rId203" w:tooltip="Федеральный закон от 29.11.2010 N 326-ФЗ (ред. от 20.02.2026) &quot;Об обязательном медицинском страховании в Российской Федерации&quot; {КонсультантПлюс}">
        <w:r>
          <w:rPr>
            <w:sz w:val="24"/>
            <w:color w:val="0000ff"/>
          </w:rPr>
          <w:t xml:space="preserve">статьей 41</w:t>
        </w:r>
      </w:hyperlink>
      <w:r>
        <w:rPr>
          <w:sz w:val="24"/>
        </w:rPr>
        <w:t xml:space="preserve"> Федерального закона. Возмещение средств территориальным фондом по месту страхования в территориальный фонд по месту оказания медицинской помощи может также осуществляться путем увеличения сумм, выставленных территориальным фондом по месту оказания медицинской помощи в счете по межтерриториальным расчетам.</w:t>
      </w:r>
    </w:p>
    <w:p>
      <w:pPr>
        <w:pStyle w:val="0"/>
        <w:spacing w:before="240" w:lineRule="auto"/>
        <w:ind w:firstLine="540"/>
        <w:jc w:val="both"/>
      </w:pPr>
      <w:r>
        <w:rPr>
          <w:sz w:val="24"/>
        </w:rPr>
        <w:t xml:space="preserve">245. Сумма, не подлежащая оплате по результатам медико-экономического контроля, медико-экономической экспертизы, экспертизы качества медицинской помощи, согласно </w:t>
      </w:r>
      <w:hyperlink w:history="0" r:id="rId204" w:tooltip="Федеральный закон от 29.11.2010 N 326-ФЗ (ред. от 20.02.2026) &quot;Об обязательном медицинском страховании в Российской Федерации&quot; {КонсультантПлюс}">
        <w:r>
          <w:rPr>
            <w:sz w:val="24"/>
            <w:color w:val="0000ff"/>
          </w:rPr>
          <w:t xml:space="preserve">статье 41</w:t>
        </w:r>
      </w:hyperlink>
      <w:r>
        <w:rPr>
          <w:sz w:val="24"/>
        </w:rPr>
        <w:t xml:space="preserve"> Федерального закона удерживается из объема средств, предусмотренных для оплаты медицинской помощи, оказанной медицинскими организациями, или подлежит возврату в территориальный фонд по месту оказания медицинской помощи медицинской организацией в соответствии с договором на оказание и оплату медицинской помощи по обязательному медицинскому страхованию и порядком проведения контроля.</w:t>
      </w:r>
    </w:p>
    <w:p>
      <w:pPr>
        <w:pStyle w:val="0"/>
        <w:spacing w:before="240" w:lineRule="auto"/>
        <w:ind w:firstLine="540"/>
        <w:jc w:val="both"/>
      </w:pPr>
      <w:r>
        <w:rPr>
          <w:sz w:val="24"/>
        </w:rPr>
        <w:t xml:space="preserve">246. При принятии медицинской организацией решения об обжаловании заключений по оценке контроля объемов, сроков, качества и условий предоставления медицинской помощи, предусмотренного </w:t>
      </w:r>
      <w:hyperlink w:history="0" r:id="rId205" w:tooltip="Федеральный закон от 29.11.2010 N 326-ФЗ (ред. от 20.02.2026) &quot;Об обязательном медицинском страховании в Российской Федерации&quot; {КонсультантПлюс}">
        <w:r>
          <w:rPr>
            <w:sz w:val="24"/>
            <w:color w:val="0000ff"/>
          </w:rPr>
          <w:t xml:space="preserve">статьей 42</w:t>
        </w:r>
      </w:hyperlink>
      <w:r>
        <w:rPr>
          <w:sz w:val="24"/>
        </w:rPr>
        <w:t xml:space="preserve"> Федерального закона, средства возвращаются в соответствии с судебным решением в указанные в нем сроки.</w:t>
      </w:r>
    </w:p>
    <w:bookmarkStart w:id="1019" w:name="P1019"/>
    <w:bookmarkEnd w:id="1019"/>
    <w:p>
      <w:pPr>
        <w:pStyle w:val="0"/>
        <w:spacing w:before="240" w:lineRule="auto"/>
        <w:ind w:firstLine="540"/>
        <w:jc w:val="both"/>
      </w:pPr>
      <w:r>
        <w:rPr>
          <w:sz w:val="24"/>
        </w:rPr>
        <w:t xml:space="preserve">247. Счет по межтерриториальным расчетам должен содержать в том числе следующие сведения:</w:t>
      </w:r>
    </w:p>
    <w:p>
      <w:pPr>
        <w:pStyle w:val="0"/>
        <w:spacing w:before="240" w:lineRule="auto"/>
        <w:ind w:firstLine="540"/>
        <w:jc w:val="both"/>
      </w:pPr>
      <w:r>
        <w:rPr>
          <w:sz w:val="24"/>
        </w:rPr>
        <w:t xml:space="preserve">номер и дату счета;</w:t>
      </w:r>
    </w:p>
    <w:p>
      <w:pPr>
        <w:pStyle w:val="0"/>
        <w:spacing w:before="240" w:lineRule="auto"/>
        <w:ind w:firstLine="540"/>
        <w:jc w:val="both"/>
      </w:pPr>
      <w:r>
        <w:rPr>
          <w:sz w:val="24"/>
        </w:rPr>
        <w:t xml:space="preserve">наименование территориального фонда по месту оказания медицинской помощи;</w:t>
      </w:r>
    </w:p>
    <w:p>
      <w:pPr>
        <w:pStyle w:val="0"/>
        <w:spacing w:before="240" w:lineRule="auto"/>
        <w:ind w:firstLine="540"/>
        <w:jc w:val="both"/>
      </w:pPr>
      <w:r>
        <w:rPr>
          <w:sz w:val="24"/>
        </w:rPr>
        <w:t xml:space="preserve">наименование территориального фонда по месту страхования;</w:t>
      </w:r>
    </w:p>
    <w:p>
      <w:pPr>
        <w:pStyle w:val="0"/>
        <w:spacing w:before="240" w:lineRule="auto"/>
        <w:ind w:firstLine="540"/>
        <w:jc w:val="both"/>
      </w:pPr>
      <w:r>
        <w:rPr>
          <w:sz w:val="24"/>
        </w:rPr>
        <w:t xml:space="preserve">сумму, подлежащую оплате;</w:t>
      </w:r>
    </w:p>
    <w:p>
      <w:pPr>
        <w:pStyle w:val="0"/>
        <w:spacing w:before="240" w:lineRule="auto"/>
        <w:ind w:firstLine="540"/>
        <w:jc w:val="both"/>
      </w:pPr>
      <w:r>
        <w:rPr>
          <w:sz w:val="24"/>
        </w:rPr>
        <w:t xml:space="preserve">сумму средств по выставленным счетам на оплату медицинской помощи;</w:t>
      </w:r>
    </w:p>
    <w:p>
      <w:pPr>
        <w:pStyle w:val="0"/>
        <w:spacing w:before="240" w:lineRule="auto"/>
        <w:ind w:firstLine="540"/>
        <w:jc w:val="both"/>
      </w:pPr>
      <w:r>
        <w:rPr>
          <w:sz w:val="24"/>
        </w:rPr>
        <w:t xml:space="preserve">сумму по возврату средств вследствие принятия мер в соответствии со </w:t>
      </w:r>
      <w:hyperlink w:history="0" r:id="rId206" w:tooltip="Федеральный закон от 29.11.2010 N 326-ФЗ (ред. от 20.02.2026) &quot;Об обязательном медицинском страховании в Российской Федерации&quot; {КонсультантПлюс}">
        <w:r>
          <w:rPr>
            <w:sz w:val="24"/>
            <w:color w:val="0000ff"/>
          </w:rPr>
          <w:t xml:space="preserve">статьей 41</w:t>
        </w:r>
      </w:hyperlink>
      <w:r>
        <w:rPr>
          <w:sz w:val="24"/>
        </w:rPr>
        <w:t xml:space="preserve"> Федерального закона;</w:t>
      </w:r>
    </w:p>
    <w:p>
      <w:pPr>
        <w:pStyle w:val="0"/>
        <w:spacing w:before="240" w:lineRule="auto"/>
        <w:ind w:firstLine="540"/>
        <w:jc w:val="both"/>
      </w:pPr>
      <w:r>
        <w:rPr>
          <w:sz w:val="24"/>
        </w:rPr>
        <w:t xml:space="preserve">сумму восстановления средств, взысканных вследствие принятия мер в соответствии со </w:t>
      </w:r>
      <w:hyperlink w:history="0" r:id="rId207" w:tooltip="Федеральный закон от 29.11.2010 N 326-ФЗ (ред. от 20.02.2026) &quot;Об обязательном медицинском страховании в Российской Федерации&quot; {КонсультантПлюс}">
        <w:r>
          <w:rPr>
            <w:sz w:val="24"/>
            <w:color w:val="0000ff"/>
          </w:rPr>
          <w:t xml:space="preserve">статьей 41</w:t>
        </w:r>
      </w:hyperlink>
      <w:r>
        <w:rPr>
          <w:sz w:val="24"/>
        </w:rPr>
        <w:t xml:space="preserve"> Федерального закона.</w:t>
      </w:r>
    </w:p>
    <w:p>
      <w:pPr>
        <w:pStyle w:val="0"/>
        <w:spacing w:before="240" w:lineRule="auto"/>
        <w:ind w:firstLine="540"/>
        <w:jc w:val="both"/>
      </w:pPr>
      <w:r>
        <w:rPr>
          <w:sz w:val="24"/>
        </w:rPr>
        <w:t xml:space="preserve">248. К счету по межтерриториальным расчетам прилагается реестр, содержащий реквизиты счетов и реестров счетов на оплату медицинской помощи, уведомлений о возврате средств, уведомлений об организации проведения совместной медико-экономической экспертизы и/или экспертизы качества медицинской помощи, уведомлений о восстановлении средств, взысканных вследствие принятия мер в соответствии со </w:t>
      </w:r>
      <w:hyperlink w:history="0" r:id="rId208" w:tooltip="Федеральный закон от 29.11.2010 N 326-ФЗ (ред. от 20.02.2026) &quot;Об обязательном медицинском страховании в Российской Федерации&quot; {КонсультантПлюс}">
        <w:r>
          <w:rPr>
            <w:sz w:val="24"/>
            <w:color w:val="0000ff"/>
          </w:rPr>
          <w:t xml:space="preserve">статьей 41</w:t>
        </w:r>
      </w:hyperlink>
      <w:r>
        <w:rPr>
          <w:sz w:val="24"/>
        </w:rPr>
        <w:t xml:space="preserve"> Федерального закона.</w:t>
      </w:r>
    </w:p>
    <w:p>
      <w:pPr>
        <w:pStyle w:val="0"/>
        <w:spacing w:before="240" w:lineRule="auto"/>
        <w:ind w:firstLine="540"/>
        <w:jc w:val="both"/>
      </w:pPr>
      <w:r>
        <w:rPr>
          <w:sz w:val="24"/>
        </w:rPr>
        <w:t xml:space="preserve">249. Не подлежит оплате по межтерриториальным расчетам оказание медицинской помощи, не предусмотренной к оказанию в рамках базовой программы.</w:t>
      </w:r>
    </w:p>
    <w:p>
      <w:pPr>
        <w:pStyle w:val="0"/>
        <w:spacing w:before="240" w:lineRule="auto"/>
        <w:ind w:firstLine="540"/>
        <w:jc w:val="both"/>
      </w:pPr>
      <w:r>
        <w:rPr>
          <w:sz w:val="24"/>
        </w:rPr>
        <w:t xml:space="preserve">250. В случае, если медицинская организация участвует в реализации территориальных программ нескольких субъектов Российской Федерации, выставление счетов и реестров счетов на оплату медицинской помощи, оказанной лицам, полис которым выдан в данных субъектах Российской Федерации, допускается только в территориальный фонд соответствующего субъекта Российской Федерации в рамках объемов предоставления и финансового обеспечения медицинской помощи, распределенных медицинской организации решением Комиссии.</w:t>
      </w:r>
    </w:p>
    <w:p>
      <w:pPr>
        <w:pStyle w:val="0"/>
        <w:spacing w:before="240" w:lineRule="auto"/>
        <w:ind w:firstLine="540"/>
        <w:jc w:val="both"/>
      </w:pPr>
      <w:r>
        <w:rPr>
          <w:sz w:val="24"/>
        </w:rPr>
        <w:t xml:space="preserve">251. В случае выявления по результатам контроля объемов, сроков, качества и условий предоставления медицинской помощи территориальным фондом по месту оказания медицинской помощи фактов излишне уплаченных сумм за прошлые годы за медицинскую помощь, оказанную застрахованным лицам за пределами территории страхования, указанные суммы подлежат возврату в бюджет территориального фонда по месту страхования.</w:t>
      </w:r>
    </w:p>
    <w:p>
      <w:pPr>
        <w:pStyle w:val="0"/>
        <w:spacing w:before="240" w:lineRule="auto"/>
        <w:ind w:firstLine="540"/>
        <w:jc w:val="both"/>
      </w:pPr>
      <w:r>
        <w:rPr>
          <w:sz w:val="24"/>
        </w:rPr>
        <w:t xml:space="preserve">252. Территориальный фонд по месту оказания медицинской помощи и территориальный фонд по месту страхования ежеквартально проводят сверку расчетов по счетам по межтерриториальным расчетам с оформлением акта сверки счетов на оплату медицинской помощи, оказанной застрахованным лицам за пределами территории страхования (далее - акт сверки по межтерриториальным расчетам).</w:t>
      </w:r>
    </w:p>
    <w:p>
      <w:pPr>
        <w:pStyle w:val="0"/>
        <w:spacing w:before="240" w:lineRule="auto"/>
        <w:ind w:firstLine="540"/>
        <w:jc w:val="both"/>
      </w:pPr>
      <w:r>
        <w:rPr>
          <w:sz w:val="24"/>
        </w:rPr>
        <w:t xml:space="preserve">253. Акт сверки по межтерриториальным расчетам должен содержать следующие сведения:</w:t>
      </w:r>
    </w:p>
    <w:p>
      <w:pPr>
        <w:pStyle w:val="0"/>
        <w:spacing w:before="240" w:lineRule="auto"/>
        <w:ind w:firstLine="540"/>
        <w:jc w:val="both"/>
      </w:pPr>
      <w:r>
        <w:rPr>
          <w:sz w:val="24"/>
        </w:rPr>
        <w:t xml:space="preserve">1) сальдо на начало отчетного периода;</w:t>
      </w:r>
    </w:p>
    <w:p>
      <w:pPr>
        <w:pStyle w:val="0"/>
        <w:spacing w:before="240" w:lineRule="auto"/>
        <w:ind w:firstLine="540"/>
        <w:jc w:val="both"/>
      </w:pPr>
      <w:r>
        <w:rPr>
          <w:sz w:val="24"/>
        </w:rPr>
        <w:t xml:space="preserve">2) суммы счетов по оплате медицинской помощи, предъявленных к возмещению, суммы выставленных уведомлений о восстановлении средств, взысканных вследствие принятия мер в соответствии со </w:t>
      </w:r>
      <w:hyperlink w:history="0" r:id="rId209" w:tooltip="Федеральный закон от 29.11.2010 N 326-ФЗ (ред. от 20.02.2026) &quot;Об обязательном медицинском страховании в Российской Федерации&quot; {КонсультантПлюс}">
        <w:r>
          <w:rPr>
            <w:sz w:val="24"/>
            <w:color w:val="0000ff"/>
          </w:rPr>
          <w:t xml:space="preserve">статьей 41</w:t>
        </w:r>
      </w:hyperlink>
      <w:r>
        <w:rPr>
          <w:sz w:val="24"/>
        </w:rPr>
        <w:t xml:space="preserve"> Федерального закона, уведомлений о возврате средств;</w:t>
      </w:r>
    </w:p>
    <w:p>
      <w:pPr>
        <w:pStyle w:val="0"/>
        <w:spacing w:before="240" w:lineRule="auto"/>
        <w:ind w:firstLine="540"/>
        <w:jc w:val="both"/>
      </w:pPr>
      <w:r>
        <w:rPr>
          <w:sz w:val="24"/>
        </w:rPr>
        <w:t xml:space="preserve">3) суммы средств, перечисленных территориальным фондом по месту страхования в территориальный фонд по месту оказания медицинской помощи;</w:t>
      </w:r>
    </w:p>
    <w:p>
      <w:pPr>
        <w:pStyle w:val="0"/>
        <w:spacing w:before="240" w:lineRule="auto"/>
        <w:ind w:firstLine="540"/>
        <w:jc w:val="both"/>
      </w:pPr>
      <w:r>
        <w:rPr>
          <w:sz w:val="24"/>
        </w:rPr>
        <w:t xml:space="preserve">4) суммы средств, перечисленных территориальным фондом по месту оказания медицинской помощи в территориальный фонд по месту страхования;</w:t>
      </w:r>
    </w:p>
    <w:p>
      <w:pPr>
        <w:pStyle w:val="0"/>
        <w:spacing w:before="240" w:lineRule="auto"/>
        <w:ind w:firstLine="540"/>
        <w:jc w:val="both"/>
      </w:pPr>
      <w:r>
        <w:rPr>
          <w:sz w:val="24"/>
        </w:rPr>
        <w:t xml:space="preserve">5) сальдо на конец отчетного периода.</w:t>
      </w:r>
    </w:p>
    <w:p>
      <w:pPr>
        <w:pStyle w:val="0"/>
        <w:spacing w:before="240" w:lineRule="auto"/>
        <w:ind w:firstLine="540"/>
        <w:jc w:val="both"/>
      </w:pPr>
      <w:r>
        <w:rPr>
          <w:sz w:val="24"/>
        </w:rPr>
        <w:t xml:space="preserve">254. Территориальный фонд по месту оказания медицинской помощи составляет акты сверки по межтерриториальным расчетам и направляет в течение 15 рабочих дней месяца, следующего за отчетным кварталом, в территориальные фонды по месту страхования.</w:t>
      </w:r>
    </w:p>
    <w:p>
      <w:pPr>
        <w:pStyle w:val="0"/>
        <w:spacing w:before="240" w:lineRule="auto"/>
        <w:ind w:firstLine="540"/>
        <w:jc w:val="both"/>
      </w:pPr>
      <w:r>
        <w:rPr>
          <w:sz w:val="24"/>
        </w:rPr>
        <w:t xml:space="preserve">255. Территориальный фонд по месту страхования, получивший акт сверки по межтерриториальным расчетам, производит сверку данных в течение 15 рабочих дней со дня получения акта сверки по межтерриториальным расчетам от территориального фонда по месту оказания медицинской помощи и его подписание.</w:t>
      </w:r>
    </w:p>
    <w:p>
      <w:pPr>
        <w:pStyle w:val="0"/>
        <w:spacing w:before="240" w:lineRule="auto"/>
        <w:ind w:firstLine="540"/>
        <w:jc w:val="both"/>
      </w:pPr>
      <w:r>
        <w:rPr>
          <w:sz w:val="24"/>
        </w:rPr>
        <w:t xml:space="preserve">256. В условиях чрезвычайной ситуации и (или) при возникновении угрозы распространения заболеваний, представляющих опасность для окружающих, территориальный фонд по месту оказания медицинской помощи осуществляет авансирование медицинских организаций на оказание медицинской помощи застрахованным лицам за пределами территории страхования, на основании представленной медицинской организацией заявки на авансирование оказание медицинской помощи застрахованным лицам за пределами территории страхования, с указанием периода авансирования и суммы, размер которой может составлять до 50 процентов от среднемесячного объема средств, направленных на оплату медицинской помощи застрахованным лицам за пределами территории субъекта Российской Федерации, в котором они застрахованы, за последние три месяца текущего финансового года.</w:t>
      </w:r>
    </w:p>
    <w:p>
      <w:pPr>
        <w:pStyle w:val="0"/>
        <w:spacing w:before="240" w:lineRule="auto"/>
        <w:ind w:firstLine="540"/>
        <w:jc w:val="both"/>
      </w:pPr>
      <w:r>
        <w:rPr>
          <w:sz w:val="24"/>
        </w:rPr>
        <w:t xml:space="preserve">257. В условиях чрезвычайной ситуации и (или) при возникновении угрозы распространения заболеваний, представляющих опасность для окружающих, медицинская организация направляет в территориальный фонд по месту оказания медицинской помощи заявку на авансирование оказания медицинской помощи застрахованным лицам за пределами территории страхования, с указанием периода авансирования и суммы, размер которой может составлять до 50 процентов от среднемесячного объема средств, направленных на оплату медицинской помощи застрахованным лицам за пределами территории страхования, за последние три месяца текущего финансового года.</w:t>
      </w:r>
    </w:p>
    <w:bookmarkStart w:id="1042" w:name="P1042"/>
    <w:bookmarkEnd w:id="1042"/>
    <w:p>
      <w:pPr>
        <w:pStyle w:val="0"/>
        <w:spacing w:before="240" w:lineRule="auto"/>
        <w:ind w:firstLine="540"/>
        <w:jc w:val="both"/>
      </w:pPr>
      <w:r>
        <w:rPr>
          <w:sz w:val="24"/>
        </w:rPr>
        <w:t xml:space="preserve">258. Медицинская организация и территориальный фонд по месту оказания медицинской помощи в соответствии с договором на оказание и оплату медицинской помощи по обязательному медицинскому страхованию ежемесячно, на 1 число месяца, следующего за отчетным, а также ежегодно по состоянию на конец финансового года, проводят сверку расчетов по межтерриториальным расчетам и составляют акт, который должен содержать сведения:</w:t>
      </w:r>
    </w:p>
    <w:p>
      <w:pPr>
        <w:pStyle w:val="0"/>
        <w:spacing w:before="240" w:lineRule="auto"/>
        <w:ind w:firstLine="540"/>
        <w:jc w:val="both"/>
      </w:pPr>
      <w:r>
        <w:rPr>
          <w:sz w:val="24"/>
        </w:rPr>
        <w:t xml:space="preserve">1) сумму задолженности территориального фонда по месту оказания медицинской помощи на начало отчетного месяца по:</w:t>
      </w:r>
    </w:p>
    <w:p>
      <w:pPr>
        <w:pStyle w:val="0"/>
        <w:spacing w:before="240" w:lineRule="auto"/>
        <w:ind w:firstLine="540"/>
        <w:jc w:val="both"/>
      </w:pPr>
      <w:r>
        <w:rPr>
          <w:sz w:val="24"/>
        </w:rPr>
        <w:t xml:space="preserve">оплате выставленных счетов на оплату медицинской помощи;</w:t>
      </w:r>
    </w:p>
    <w:p>
      <w:pPr>
        <w:pStyle w:val="0"/>
        <w:spacing w:before="240" w:lineRule="auto"/>
        <w:ind w:firstLine="540"/>
        <w:jc w:val="both"/>
      </w:pPr>
      <w:r>
        <w:rPr>
          <w:sz w:val="24"/>
        </w:rPr>
        <w:t xml:space="preserve">оплате пени за просрочку перечисления средств за оказанную медицинскую помощь;</w:t>
      </w:r>
    </w:p>
    <w:p>
      <w:pPr>
        <w:pStyle w:val="0"/>
        <w:spacing w:before="240" w:lineRule="auto"/>
        <w:ind w:firstLine="540"/>
        <w:jc w:val="both"/>
      </w:pPr>
      <w:r>
        <w:rPr>
          <w:sz w:val="24"/>
        </w:rPr>
        <w:t xml:space="preserve">2) сумму задолженности медицинской организации на начало отчетного месяца по:</w:t>
      </w:r>
    </w:p>
    <w:p>
      <w:pPr>
        <w:pStyle w:val="0"/>
        <w:spacing w:before="240" w:lineRule="auto"/>
        <w:ind w:firstLine="540"/>
        <w:jc w:val="both"/>
      </w:pPr>
      <w:r>
        <w:rPr>
          <w:sz w:val="24"/>
        </w:rPr>
        <w:t xml:space="preserve">оплате штрафов и возврату средств вследствие принятия к медицинской организации мер в соответствии со </w:t>
      </w:r>
      <w:hyperlink w:history="0" r:id="rId210" w:tooltip="Федеральный закон от 29.11.2010 N 326-ФЗ (ред. от 20.02.2026) &quot;Об обязательном медицинском страховании в Российской Федерации&quot; {КонсультантПлюс}">
        <w:r>
          <w:rPr>
            <w:sz w:val="24"/>
            <w:color w:val="0000ff"/>
          </w:rPr>
          <w:t xml:space="preserve">статьей 41</w:t>
        </w:r>
      </w:hyperlink>
      <w:r>
        <w:rPr>
          <w:sz w:val="24"/>
        </w:rPr>
        <w:t xml:space="preserve"> Федерального закона, в том числе по результатам:</w:t>
      </w:r>
    </w:p>
    <w:p>
      <w:pPr>
        <w:pStyle w:val="0"/>
        <w:spacing w:before="240" w:lineRule="auto"/>
        <w:ind w:firstLine="540"/>
        <w:jc w:val="both"/>
      </w:pPr>
      <w:r>
        <w:rPr>
          <w:sz w:val="24"/>
        </w:rPr>
        <w:t xml:space="preserve">медико-экономической экспертизы;</w:t>
      </w:r>
    </w:p>
    <w:p>
      <w:pPr>
        <w:pStyle w:val="0"/>
        <w:spacing w:before="240" w:lineRule="auto"/>
        <w:ind w:firstLine="540"/>
        <w:jc w:val="both"/>
      </w:pPr>
      <w:r>
        <w:rPr>
          <w:sz w:val="24"/>
        </w:rPr>
        <w:t xml:space="preserve">экспертизы качества медицинской помощи;</w:t>
      </w:r>
    </w:p>
    <w:p>
      <w:pPr>
        <w:pStyle w:val="0"/>
        <w:spacing w:before="240" w:lineRule="auto"/>
        <w:ind w:firstLine="540"/>
        <w:jc w:val="both"/>
      </w:pPr>
      <w:r>
        <w:rPr>
          <w:sz w:val="24"/>
        </w:rPr>
        <w:t xml:space="preserve">по оплате пеней за просрочку оплаты штрафов и возврата средств вследствие принятия к медицинской организации мер в соответствии со </w:t>
      </w:r>
      <w:hyperlink w:history="0" r:id="rId211" w:tooltip="Федеральный закон от 29.11.2010 N 326-ФЗ (ред. от 20.02.2026) &quot;Об обязательном медицинском страховании в Российской Федерации&quot; {КонсультантПлюс}">
        <w:r>
          <w:rPr>
            <w:sz w:val="24"/>
            <w:color w:val="0000ff"/>
          </w:rPr>
          <w:t xml:space="preserve">статьей 41</w:t>
        </w:r>
      </w:hyperlink>
      <w:r>
        <w:rPr>
          <w:sz w:val="24"/>
        </w:rPr>
        <w:t xml:space="preserve"> Федерального закона;</w:t>
      </w:r>
    </w:p>
    <w:p>
      <w:pPr>
        <w:pStyle w:val="0"/>
        <w:spacing w:before="240" w:lineRule="auto"/>
        <w:ind w:firstLine="540"/>
        <w:jc w:val="both"/>
      </w:pPr>
      <w:r>
        <w:rPr>
          <w:sz w:val="24"/>
        </w:rPr>
        <w:t xml:space="preserve">3) общую сумму средств на оплату медицинской помощи по предъявленным счетам за отчетный месяц;</w:t>
      </w:r>
    </w:p>
    <w:p>
      <w:pPr>
        <w:pStyle w:val="0"/>
        <w:spacing w:before="240" w:lineRule="auto"/>
        <w:ind w:firstLine="540"/>
        <w:jc w:val="both"/>
      </w:pPr>
      <w:r>
        <w:rPr>
          <w:sz w:val="24"/>
        </w:rPr>
        <w:t xml:space="preserve">4) сумму средств, сформированных за нарушения, выявленные по результатам контроля объемов, сроков, качества и условий предоставления медицинской помощи, всего, в том числе по результатам:</w:t>
      </w:r>
    </w:p>
    <w:p>
      <w:pPr>
        <w:pStyle w:val="0"/>
        <w:spacing w:before="240" w:lineRule="auto"/>
        <w:ind w:firstLine="540"/>
        <w:jc w:val="both"/>
      </w:pPr>
      <w:r>
        <w:rPr>
          <w:sz w:val="24"/>
        </w:rPr>
        <w:t xml:space="preserve">медико-экономического контроля;</w:t>
      </w:r>
    </w:p>
    <w:p>
      <w:pPr>
        <w:pStyle w:val="0"/>
        <w:spacing w:before="240" w:lineRule="auto"/>
        <w:ind w:firstLine="540"/>
        <w:jc w:val="both"/>
      </w:pPr>
      <w:r>
        <w:rPr>
          <w:sz w:val="24"/>
        </w:rPr>
        <w:t xml:space="preserve">медико-экономической экспертизы;</w:t>
      </w:r>
    </w:p>
    <w:p>
      <w:pPr>
        <w:pStyle w:val="0"/>
        <w:spacing w:before="240" w:lineRule="auto"/>
        <w:ind w:firstLine="540"/>
        <w:jc w:val="both"/>
      </w:pPr>
      <w:r>
        <w:rPr>
          <w:sz w:val="24"/>
        </w:rPr>
        <w:t xml:space="preserve">экспертизы качества медицинской помощи;</w:t>
      </w:r>
    </w:p>
    <w:p>
      <w:pPr>
        <w:pStyle w:val="0"/>
        <w:spacing w:before="240" w:lineRule="auto"/>
        <w:ind w:firstLine="540"/>
        <w:jc w:val="both"/>
      </w:pPr>
      <w:r>
        <w:rPr>
          <w:sz w:val="24"/>
        </w:rPr>
        <w:t xml:space="preserve">5) сумму штрафов, начисленных за нарушения, выявленные по результатам контроля объемов, сроков, качества и условий предоставления медицинской помощи, всего, в том числе по результатам:</w:t>
      </w:r>
    </w:p>
    <w:p>
      <w:pPr>
        <w:pStyle w:val="0"/>
        <w:spacing w:before="240" w:lineRule="auto"/>
        <w:ind w:firstLine="540"/>
        <w:jc w:val="both"/>
      </w:pPr>
      <w:r>
        <w:rPr>
          <w:sz w:val="24"/>
        </w:rPr>
        <w:t xml:space="preserve">медико-экономической экспертизы;</w:t>
      </w:r>
    </w:p>
    <w:p>
      <w:pPr>
        <w:pStyle w:val="0"/>
        <w:spacing w:before="240" w:lineRule="auto"/>
        <w:ind w:firstLine="540"/>
        <w:jc w:val="both"/>
      </w:pPr>
      <w:r>
        <w:rPr>
          <w:sz w:val="24"/>
        </w:rPr>
        <w:t xml:space="preserve">экспертизы качества медицинской помощи;</w:t>
      </w:r>
    </w:p>
    <w:p>
      <w:pPr>
        <w:pStyle w:val="0"/>
        <w:spacing w:before="240" w:lineRule="auto"/>
        <w:ind w:firstLine="540"/>
        <w:jc w:val="both"/>
      </w:pPr>
      <w:r>
        <w:rPr>
          <w:sz w:val="24"/>
        </w:rPr>
        <w:t xml:space="preserve">6) сумму средств, удержанных территориальным фондом по месту оказания медицинской помощи по результатам контроля объемов, сроков, качества и условий предоставления медицинской помощи, в том числе по результатам:</w:t>
      </w:r>
    </w:p>
    <w:p>
      <w:pPr>
        <w:pStyle w:val="0"/>
        <w:spacing w:before="240" w:lineRule="auto"/>
        <w:ind w:firstLine="540"/>
        <w:jc w:val="both"/>
      </w:pPr>
      <w:r>
        <w:rPr>
          <w:sz w:val="24"/>
        </w:rPr>
        <w:t xml:space="preserve">медико-экономического контроля;</w:t>
      </w:r>
    </w:p>
    <w:p>
      <w:pPr>
        <w:pStyle w:val="0"/>
        <w:spacing w:before="240" w:lineRule="auto"/>
        <w:ind w:firstLine="540"/>
        <w:jc w:val="both"/>
      </w:pPr>
      <w:r>
        <w:rPr>
          <w:sz w:val="24"/>
        </w:rPr>
        <w:t xml:space="preserve">медико-экономической экспертизы;</w:t>
      </w:r>
    </w:p>
    <w:p>
      <w:pPr>
        <w:pStyle w:val="0"/>
        <w:spacing w:before="240" w:lineRule="auto"/>
        <w:ind w:firstLine="540"/>
        <w:jc w:val="both"/>
      </w:pPr>
      <w:r>
        <w:rPr>
          <w:sz w:val="24"/>
        </w:rPr>
        <w:t xml:space="preserve">экспертизы качества медицинской помощи;</w:t>
      </w:r>
    </w:p>
    <w:p>
      <w:pPr>
        <w:pStyle w:val="0"/>
        <w:spacing w:before="240" w:lineRule="auto"/>
        <w:ind w:firstLine="540"/>
        <w:jc w:val="both"/>
      </w:pPr>
      <w:r>
        <w:rPr>
          <w:sz w:val="24"/>
        </w:rPr>
        <w:t xml:space="preserve">7) сумму средств, перечисленных медицинской организацией в территориальный фонд по месту оказания медицинской помощи за отчетный месяц:</w:t>
      </w:r>
    </w:p>
    <w:p>
      <w:pPr>
        <w:pStyle w:val="0"/>
        <w:spacing w:before="240" w:lineRule="auto"/>
        <w:ind w:firstLine="540"/>
        <w:jc w:val="both"/>
      </w:pPr>
      <w:r>
        <w:rPr>
          <w:sz w:val="24"/>
        </w:rPr>
        <w:t xml:space="preserve">в связи с принятием к медицинской организации мер в соответствии со </w:t>
      </w:r>
      <w:hyperlink w:history="0" r:id="rId212" w:tooltip="Федеральный закон от 29.11.2010 N 326-ФЗ (ред. от 20.02.2026) &quot;Об обязательном медицинском страховании в Российской Федерации&quot; {КонсультантПлюс}">
        <w:r>
          <w:rPr>
            <w:sz w:val="24"/>
            <w:color w:val="0000ff"/>
          </w:rPr>
          <w:t xml:space="preserve">статей 41</w:t>
        </w:r>
      </w:hyperlink>
      <w:r>
        <w:rPr>
          <w:sz w:val="24"/>
        </w:rPr>
        <w:t xml:space="preserve"> Федерального закона;</w:t>
      </w:r>
    </w:p>
    <w:p>
      <w:pPr>
        <w:pStyle w:val="0"/>
        <w:spacing w:before="240" w:lineRule="auto"/>
        <w:ind w:firstLine="540"/>
        <w:jc w:val="both"/>
      </w:pPr>
      <w:r>
        <w:rPr>
          <w:sz w:val="24"/>
        </w:rPr>
        <w:t xml:space="preserve">на оплату штрафов по результатам контроля объемов, сроков, качества и условий предоставления медицинской помощи, в том числе по результатам:</w:t>
      </w:r>
    </w:p>
    <w:p>
      <w:pPr>
        <w:pStyle w:val="0"/>
        <w:spacing w:before="240" w:lineRule="auto"/>
        <w:ind w:firstLine="540"/>
        <w:jc w:val="both"/>
      </w:pPr>
      <w:r>
        <w:rPr>
          <w:sz w:val="24"/>
        </w:rPr>
        <w:t xml:space="preserve">медико-экономической экспертизы;</w:t>
      </w:r>
    </w:p>
    <w:p>
      <w:pPr>
        <w:pStyle w:val="0"/>
        <w:spacing w:before="240" w:lineRule="auto"/>
        <w:ind w:firstLine="540"/>
        <w:jc w:val="both"/>
      </w:pPr>
      <w:r>
        <w:rPr>
          <w:sz w:val="24"/>
        </w:rPr>
        <w:t xml:space="preserve">экспертизы качества медицинской помощи;</w:t>
      </w:r>
    </w:p>
    <w:p>
      <w:pPr>
        <w:pStyle w:val="0"/>
        <w:spacing w:before="240" w:lineRule="auto"/>
        <w:ind w:firstLine="540"/>
        <w:jc w:val="both"/>
      </w:pPr>
      <w:r>
        <w:rPr>
          <w:sz w:val="24"/>
        </w:rPr>
        <w:t xml:space="preserve">8) сумму средств, перечисленных территориальным фондом по месту оказания медицинской помощи в медицинскую организацию в отчетном месяце по счетам на оплату медицинской помощи;</w:t>
      </w:r>
    </w:p>
    <w:p>
      <w:pPr>
        <w:pStyle w:val="0"/>
        <w:spacing w:before="240" w:lineRule="auto"/>
        <w:ind w:firstLine="540"/>
        <w:jc w:val="both"/>
      </w:pPr>
      <w:r>
        <w:rPr>
          <w:sz w:val="24"/>
        </w:rPr>
        <w:t xml:space="preserve">9) сумму начисленного территориальному фонду по месту оказания медицинской помощи пени за несвоевременное перечисление средств на оплату медицинской помощи по результатам контроля объемов, сроков, качества и условий предоставления медицинской помощи;</w:t>
      </w:r>
    </w:p>
    <w:p>
      <w:pPr>
        <w:pStyle w:val="0"/>
        <w:spacing w:before="240" w:lineRule="auto"/>
        <w:ind w:firstLine="540"/>
        <w:jc w:val="both"/>
      </w:pPr>
      <w:r>
        <w:rPr>
          <w:sz w:val="24"/>
        </w:rPr>
        <w:t xml:space="preserve">10) сумму начисленного медицинской организации пени за несвоевременный возврат средств по итогам принятия мер, предусмотренных </w:t>
      </w:r>
      <w:hyperlink w:history="0" r:id="rId213" w:tooltip="Федеральный закон от 29.11.2010 N 326-ФЗ (ред. от 20.02.2026) &quot;Об обязательном медицинском страховании в Российской Федерации&quot; {КонсультантПлюс}">
        <w:r>
          <w:rPr>
            <w:sz w:val="24"/>
            <w:color w:val="0000ff"/>
          </w:rPr>
          <w:t xml:space="preserve">статьей 41</w:t>
        </w:r>
      </w:hyperlink>
      <w:r>
        <w:rPr>
          <w:sz w:val="24"/>
        </w:rPr>
        <w:t xml:space="preserve"> Федерального закона;</w:t>
      </w:r>
    </w:p>
    <w:p>
      <w:pPr>
        <w:pStyle w:val="0"/>
        <w:spacing w:before="240" w:lineRule="auto"/>
        <w:ind w:firstLine="540"/>
        <w:jc w:val="both"/>
      </w:pPr>
      <w:r>
        <w:rPr>
          <w:sz w:val="24"/>
        </w:rPr>
        <w:t xml:space="preserve">11) сумму перечисленного территориальному фонду по месту оказания медицинской помощи пени за несвоевременное перечисление средств на оплату медицинской помощи по результатам контроля объемов, сроков, качества и условий предоставления медицинской помощи;</w:t>
      </w:r>
    </w:p>
    <w:p>
      <w:pPr>
        <w:pStyle w:val="0"/>
        <w:spacing w:before="240" w:lineRule="auto"/>
        <w:ind w:firstLine="540"/>
        <w:jc w:val="both"/>
      </w:pPr>
      <w:r>
        <w:rPr>
          <w:sz w:val="24"/>
        </w:rPr>
        <w:t xml:space="preserve">12) сумму перечисленного медицинской организацией пени за несвоевременный возврат средств по итогам принятия мер, предусмотренных </w:t>
      </w:r>
      <w:hyperlink w:history="0" r:id="rId214" w:tooltip="Федеральный закон от 29.11.2010 N 326-ФЗ (ред. от 20.02.2026) &quot;Об обязательном медицинском страховании в Российской Федерации&quot; {КонсультантПлюс}">
        <w:r>
          <w:rPr>
            <w:sz w:val="24"/>
            <w:color w:val="0000ff"/>
          </w:rPr>
          <w:t xml:space="preserve">статьей 41</w:t>
        </w:r>
      </w:hyperlink>
      <w:r>
        <w:rPr>
          <w:sz w:val="24"/>
        </w:rPr>
        <w:t xml:space="preserve"> Федерального закона;</w:t>
      </w:r>
    </w:p>
    <w:p>
      <w:pPr>
        <w:pStyle w:val="0"/>
        <w:spacing w:before="240" w:lineRule="auto"/>
        <w:ind w:firstLine="540"/>
        <w:jc w:val="both"/>
      </w:pPr>
      <w:r>
        <w:rPr>
          <w:sz w:val="24"/>
        </w:rPr>
        <w:t xml:space="preserve">13) сумму задолженности территориального фонда по месту оказания медицинской помощи на конец отчетного период по:</w:t>
      </w:r>
    </w:p>
    <w:p>
      <w:pPr>
        <w:pStyle w:val="0"/>
        <w:spacing w:before="240" w:lineRule="auto"/>
        <w:ind w:firstLine="540"/>
        <w:jc w:val="both"/>
      </w:pPr>
      <w:r>
        <w:rPr>
          <w:sz w:val="24"/>
        </w:rPr>
        <w:t xml:space="preserve">оплате выставленных счетов на оплату медицинской помощи с учетом результатов контроля объемов, сроков, качества и условий предоставления медицинской помощи;</w:t>
      </w:r>
    </w:p>
    <w:p>
      <w:pPr>
        <w:pStyle w:val="0"/>
        <w:spacing w:before="240" w:lineRule="auto"/>
        <w:ind w:firstLine="540"/>
        <w:jc w:val="both"/>
      </w:pPr>
      <w:r>
        <w:rPr>
          <w:sz w:val="24"/>
        </w:rPr>
        <w:t xml:space="preserve">оплате пени за просрочку перечисления средств за оказанную медицинскую помощь;</w:t>
      </w:r>
    </w:p>
    <w:p>
      <w:pPr>
        <w:pStyle w:val="0"/>
        <w:spacing w:before="240" w:lineRule="auto"/>
        <w:ind w:firstLine="540"/>
        <w:jc w:val="both"/>
      </w:pPr>
      <w:r>
        <w:rPr>
          <w:sz w:val="24"/>
        </w:rPr>
        <w:t xml:space="preserve">14) сумму задолженности медицинской организации на конец отчетного месяца по:</w:t>
      </w:r>
    </w:p>
    <w:p>
      <w:pPr>
        <w:pStyle w:val="0"/>
        <w:spacing w:before="240" w:lineRule="auto"/>
        <w:ind w:firstLine="540"/>
        <w:jc w:val="both"/>
      </w:pPr>
      <w:r>
        <w:rPr>
          <w:sz w:val="24"/>
        </w:rPr>
        <w:t xml:space="preserve">оплате штрафов и возврату средств вследствие принятия к медицинской организации мер в соответствии со </w:t>
      </w:r>
      <w:hyperlink w:history="0" r:id="rId215" w:tooltip="Федеральный закон от 29.11.2010 N 326-ФЗ (ред. от 20.02.2026) &quot;Об обязательном медицинском страховании в Российской Федерации&quot; {КонсультантПлюс}">
        <w:r>
          <w:rPr>
            <w:sz w:val="24"/>
            <w:color w:val="0000ff"/>
          </w:rPr>
          <w:t xml:space="preserve">статьей 41</w:t>
        </w:r>
      </w:hyperlink>
      <w:r>
        <w:rPr>
          <w:sz w:val="24"/>
        </w:rPr>
        <w:t xml:space="preserve"> Федерального закона, в том числе по результатам:</w:t>
      </w:r>
    </w:p>
    <w:p>
      <w:pPr>
        <w:pStyle w:val="0"/>
        <w:spacing w:before="240" w:lineRule="auto"/>
        <w:ind w:firstLine="540"/>
        <w:jc w:val="both"/>
      </w:pPr>
      <w:r>
        <w:rPr>
          <w:sz w:val="24"/>
        </w:rPr>
        <w:t xml:space="preserve">медико-экономической экспертизы;</w:t>
      </w:r>
    </w:p>
    <w:p>
      <w:pPr>
        <w:pStyle w:val="0"/>
        <w:spacing w:before="240" w:lineRule="auto"/>
        <w:ind w:firstLine="540"/>
        <w:jc w:val="both"/>
      </w:pPr>
      <w:r>
        <w:rPr>
          <w:sz w:val="24"/>
        </w:rPr>
        <w:t xml:space="preserve">экспертизы качества медицинской помощи;</w:t>
      </w:r>
    </w:p>
    <w:p>
      <w:pPr>
        <w:pStyle w:val="0"/>
        <w:spacing w:before="240" w:lineRule="auto"/>
        <w:ind w:firstLine="540"/>
        <w:jc w:val="both"/>
      </w:pPr>
      <w:r>
        <w:rPr>
          <w:sz w:val="24"/>
        </w:rPr>
        <w:t xml:space="preserve">оплате пени за просрочку оплаты штрафов и возврата средств вследствие принятия к медицинской организации мер в соответствии со </w:t>
      </w:r>
      <w:hyperlink w:history="0" r:id="rId216" w:tooltip="Федеральный закон от 29.11.2010 N 326-ФЗ (ред. от 20.02.2026) &quot;Об обязательном медицинском страховании в Российской Федерации&quot; {КонсультантПлюс}">
        <w:r>
          <w:rPr>
            <w:sz w:val="24"/>
            <w:color w:val="0000ff"/>
          </w:rPr>
          <w:t xml:space="preserve">статьей 41</w:t>
        </w:r>
      </w:hyperlink>
      <w:r>
        <w:rPr>
          <w:sz w:val="24"/>
        </w:rPr>
        <w:t xml:space="preserve"> Федерального закона.</w:t>
      </w:r>
    </w:p>
    <w:p>
      <w:pPr>
        <w:pStyle w:val="0"/>
        <w:spacing w:before="240" w:lineRule="auto"/>
        <w:ind w:firstLine="540"/>
        <w:jc w:val="both"/>
      </w:pPr>
      <w:r>
        <w:rPr>
          <w:sz w:val="24"/>
        </w:rPr>
        <w:t xml:space="preserve">259. Акт, указанный в </w:t>
      </w:r>
      <w:hyperlink w:history="0" w:anchor="P1042" w:tooltip="258. Медицинская организация и территориальный фонд по месту оказания медицинской помощи в соответствии с договором на оказание и оплату медицинской помощи по обязательному медицинскому страхованию ежемесячно, на 1 число месяца, следующего за отчетным, а также ежегодно по состоянию на конец финансового года, проводят сверку расчетов по межтерриториальным расчетам и составляют акт, который должен содержать сведения:">
        <w:r>
          <w:rPr>
            <w:sz w:val="24"/>
            <w:color w:val="0000ff"/>
          </w:rPr>
          <w:t xml:space="preserve">пункте 258</w:t>
        </w:r>
      </w:hyperlink>
      <w:r>
        <w:rPr>
          <w:sz w:val="24"/>
        </w:rPr>
        <w:t xml:space="preserve"> настоящих Правил, подписывается руководителем и главным бухгалтером территориального фонда по месту оказания медицинской помощи (или иным должностным лицом, на которое возлагается ведение бухгалтерского учета), руководителем и главным бухгалтером медицинской организации (или иным должностным лицом, на которое возлагается ведение бухгалтерского учета) и при формировании акта в форме документа на бумажном носителе - заверяется печатями территориального фонда по месту оказания медицинской помощи и медицинской организации (при наличии).</w:t>
      </w:r>
    </w:p>
    <w:p>
      <w:pPr>
        <w:pStyle w:val="0"/>
        <w:jc w:val="both"/>
      </w:pPr>
      <w:r>
        <w:rPr>
          <w:sz w:val="24"/>
        </w:rPr>
      </w:r>
    </w:p>
    <w:p>
      <w:pPr>
        <w:pStyle w:val="2"/>
        <w:outlineLvl w:val="1"/>
        <w:jc w:val="center"/>
      </w:pPr>
      <w:r>
        <w:rPr>
          <w:sz w:val="24"/>
        </w:rPr>
        <w:t xml:space="preserve">X. Утверждение для страховых медицинских организаций</w:t>
      </w:r>
    </w:p>
    <w:p>
      <w:pPr>
        <w:pStyle w:val="2"/>
        <w:jc w:val="center"/>
      </w:pPr>
      <w:r>
        <w:rPr>
          <w:sz w:val="24"/>
        </w:rPr>
        <w:t xml:space="preserve">дифференцированных подушевых нормативов финансового</w:t>
      </w:r>
    </w:p>
    <w:p>
      <w:pPr>
        <w:pStyle w:val="2"/>
        <w:jc w:val="center"/>
      </w:pPr>
      <w:r>
        <w:rPr>
          <w:sz w:val="24"/>
        </w:rPr>
        <w:t xml:space="preserve">обеспечения обязательного медицинского страхования</w:t>
      </w:r>
    </w:p>
    <w:p>
      <w:pPr>
        <w:pStyle w:val="0"/>
        <w:jc w:val="both"/>
      </w:pPr>
      <w:r>
        <w:rPr>
          <w:sz w:val="24"/>
        </w:rPr>
      </w:r>
    </w:p>
    <w:p>
      <w:pPr>
        <w:pStyle w:val="0"/>
        <w:ind w:firstLine="540"/>
        <w:jc w:val="both"/>
      </w:pPr>
      <w:r>
        <w:rPr>
          <w:sz w:val="24"/>
        </w:rPr>
        <w:t xml:space="preserve">260. Дифференцированные подушевые нормативы предназначены для определения размера финансовых средств для финансирования страховых медицинских организаций, в расчете на одно застрахованное лицо, с учетом различия в затратах на оказание медицинской помощи отдельным группам застрахованных лиц в зависимости от пола, возраста.</w:t>
      </w:r>
    </w:p>
    <w:p>
      <w:pPr>
        <w:pStyle w:val="0"/>
        <w:spacing w:before="240" w:lineRule="auto"/>
        <w:ind w:firstLine="540"/>
        <w:jc w:val="both"/>
      </w:pPr>
      <w:r>
        <w:rPr>
          <w:sz w:val="24"/>
        </w:rPr>
        <w:t xml:space="preserve">261. Для расчета дифференцированных подушевых нормативов численность застрахованных лиц в субъекте Российской Федерации распределяется на следующие половозрастные группы:</w:t>
      </w:r>
    </w:p>
    <w:p>
      <w:pPr>
        <w:pStyle w:val="0"/>
        <w:spacing w:before="240" w:lineRule="auto"/>
        <w:ind w:firstLine="540"/>
        <w:jc w:val="both"/>
      </w:pPr>
      <w:r>
        <w:rPr>
          <w:sz w:val="24"/>
        </w:rPr>
        <w:t xml:space="preserve">1) ноль - четыре года мужчины/женщины;</w:t>
      </w:r>
    </w:p>
    <w:p>
      <w:pPr>
        <w:pStyle w:val="0"/>
        <w:spacing w:before="240" w:lineRule="auto"/>
        <w:ind w:firstLine="540"/>
        <w:jc w:val="both"/>
      </w:pPr>
      <w:r>
        <w:rPr>
          <w:sz w:val="24"/>
        </w:rPr>
        <w:t xml:space="preserve">2) пять - семнадцать лет мужчины/женщины;</w:t>
      </w:r>
    </w:p>
    <w:p>
      <w:pPr>
        <w:pStyle w:val="0"/>
        <w:spacing w:before="240" w:lineRule="auto"/>
        <w:ind w:firstLine="540"/>
        <w:jc w:val="both"/>
      </w:pPr>
      <w:r>
        <w:rPr>
          <w:sz w:val="24"/>
        </w:rPr>
        <w:t xml:space="preserve">3) восемнадцать - пятьдесят девять лет мужчины;</w:t>
      </w:r>
    </w:p>
    <w:p>
      <w:pPr>
        <w:pStyle w:val="0"/>
        <w:spacing w:before="240" w:lineRule="auto"/>
        <w:ind w:firstLine="540"/>
        <w:jc w:val="both"/>
      </w:pPr>
      <w:r>
        <w:rPr>
          <w:sz w:val="24"/>
        </w:rPr>
        <w:t xml:space="preserve">4) восемнадцать - пятьдесят четыре года женщины;</w:t>
      </w:r>
    </w:p>
    <w:p>
      <w:pPr>
        <w:pStyle w:val="0"/>
        <w:spacing w:before="240" w:lineRule="auto"/>
        <w:ind w:firstLine="540"/>
        <w:jc w:val="both"/>
      </w:pPr>
      <w:r>
        <w:rPr>
          <w:sz w:val="24"/>
        </w:rPr>
        <w:t xml:space="preserve">5) шестьдесят лет и старше мужчины;</w:t>
      </w:r>
    </w:p>
    <w:p>
      <w:pPr>
        <w:pStyle w:val="0"/>
        <w:spacing w:before="240" w:lineRule="auto"/>
        <w:ind w:firstLine="540"/>
        <w:jc w:val="both"/>
      </w:pPr>
      <w:r>
        <w:rPr>
          <w:sz w:val="24"/>
        </w:rPr>
        <w:t xml:space="preserve">6) пятьдесят пять лет и старше женщины.</w:t>
      </w:r>
    </w:p>
    <w:p>
      <w:pPr>
        <w:pStyle w:val="0"/>
        <w:spacing w:before="240" w:lineRule="auto"/>
        <w:ind w:firstLine="540"/>
        <w:jc w:val="both"/>
      </w:pPr>
      <w:r>
        <w:rPr>
          <w:sz w:val="24"/>
        </w:rPr>
        <w:t xml:space="preserve">262. При расчете дифференцированного подушевого норматива в субъекте Российской Федерации допустимо использовать распределение численности на половозрастные подгруппы с учетом дифференциации в оказании медицинской помощи, а также раздельно для детского и взрослого населения.</w:t>
      </w:r>
    </w:p>
    <w:p>
      <w:pPr>
        <w:pStyle w:val="0"/>
        <w:spacing w:before="240" w:lineRule="auto"/>
        <w:ind w:firstLine="540"/>
        <w:jc w:val="both"/>
      </w:pPr>
      <w:r>
        <w:rPr>
          <w:sz w:val="24"/>
        </w:rPr>
        <w:t xml:space="preserve">263. Дифференцированные подушевые нормативы рассчитываются в следующей последовательности:</w:t>
      </w:r>
    </w:p>
    <w:p>
      <w:pPr>
        <w:pStyle w:val="0"/>
        <w:spacing w:before="240" w:lineRule="auto"/>
        <w:ind w:firstLine="540"/>
        <w:jc w:val="both"/>
      </w:pPr>
      <w:r>
        <w:rPr>
          <w:sz w:val="24"/>
        </w:rPr>
        <w:t xml:space="preserve">1) рассчитываются коэффициенты дифференциации (КД</w:t>
      </w:r>
      <w:r>
        <w:rPr>
          <w:sz w:val="24"/>
          <w:vertAlign w:val="subscript"/>
        </w:rPr>
        <w:t xml:space="preserve">i</w:t>
      </w:r>
      <w:r>
        <w:rPr>
          <w:sz w:val="24"/>
        </w:rPr>
        <w:t xml:space="preserve">) для каждой половозрастной группы застрахованных лиц на основании данных о затратах на оплату медицинской помощи, оказанной застрахованным лицам за определенный расчетный период (далее - расчетный период), но не реже одного раза в год, и о численности застрахованных лиц за данный период. Для расчета коэффициентов дифференциации:</w:t>
      </w:r>
    </w:p>
    <w:p>
      <w:pPr>
        <w:pStyle w:val="0"/>
        <w:spacing w:before="240" w:lineRule="auto"/>
        <w:ind w:firstLine="540"/>
        <w:jc w:val="both"/>
      </w:pPr>
      <w:r>
        <w:rPr>
          <w:sz w:val="24"/>
        </w:rPr>
        <w:t xml:space="preserve">все лица, застрахованные в субъекте Российской Федерации в расчетном периоде, распределяются на половозрастные группы. К расчету коэффициентов дифференциации принимается численность застрахованных лиц на территории субъекта Российской Федерации, определяемая на основании сведений регионального сегмента единого регистра застрахованных лиц на первое число первого месяца расчетного периода;</w:t>
      </w:r>
    </w:p>
    <w:p>
      <w:pPr>
        <w:pStyle w:val="0"/>
        <w:spacing w:before="240" w:lineRule="auto"/>
        <w:ind w:firstLine="540"/>
        <w:jc w:val="both"/>
      </w:pPr>
      <w:r>
        <w:rPr>
          <w:sz w:val="24"/>
        </w:rPr>
        <w:t xml:space="preserve">определяются затраты на оплату медицинской помощи, оказанной застрахованным лицам - на основании реестров счетов (с учетом видов и условий оказания медицинской помощи) за расчетный период в разрезе половозрастной структуры застрахованных лиц на территории субъекта Российской Федерации;</w:t>
      </w:r>
    </w:p>
    <w:p>
      <w:pPr>
        <w:pStyle w:val="0"/>
        <w:spacing w:before="240" w:lineRule="auto"/>
        <w:ind w:firstLine="540"/>
        <w:jc w:val="both"/>
      </w:pPr>
      <w:r>
        <w:rPr>
          <w:sz w:val="24"/>
        </w:rPr>
        <w:t xml:space="preserve">определяется норматив затрат на одно застрахованное лицо (Р) в субъекте Российской Федерации (без учета возраста и пола) по формуле:</w:t>
      </w:r>
    </w:p>
    <w:p>
      <w:pPr>
        <w:pStyle w:val="0"/>
        <w:jc w:val="both"/>
      </w:pPr>
      <w:r>
        <w:rPr>
          <w:sz w:val="24"/>
        </w:rPr>
      </w:r>
    </w:p>
    <w:p>
      <w:pPr>
        <w:pStyle w:val="0"/>
        <w:jc w:val="center"/>
      </w:pPr>
      <w:r>
        <w:rPr>
          <w:position w:val="-6"/>
        </w:rPr>
        <w:drawing>
          <wp:inline distT="0" distB="0" distL="0" distR="0">
            <wp:extent cx="1085850" cy="24003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17">
                      <a:extLst>
                        <a:ext uri="{28A0092B-C50C-407E-A947-70E740481C1C}">
                          <a14:useLocalDpi xmlns:a14="http://schemas.microsoft.com/office/drawing/2010/main" val="0"/>
                        </a:ext>
                      </a:extLst>
                    </a:blip>
                    <a:srcRect/>
                    <a:stretch>
                      <a:fillRect/>
                    </a:stretch>
                  </pic:blipFill>
                  <pic:spPr bwMode="auto">
                    <a:xfrm>
                      <a:off x="0" y="0"/>
                      <a:ext cx="1085850" cy="240030"/>
                    </a:xfrm>
                    <a:prstGeom prst="rect">
                      <a:avLst/>
                    </a:prstGeom>
                    <a:noFill/>
                    <a:ln>
                      <a:noFill/>
                    </a:ln>
                  </pic:spPr>
                </pic:pic>
              </a:graphicData>
            </a:graphic>
          </wp:inline>
        </w:drawing>
      </w:r>
    </w:p>
    <w:p>
      <w:pPr>
        <w:pStyle w:val="0"/>
        <w:jc w:val="both"/>
      </w:pPr>
      <w:r>
        <w:rPr>
          <w:sz w:val="24"/>
        </w:rPr>
      </w:r>
    </w:p>
    <w:p>
      <w:pPr>
        <w:pStyle w:val="0"/>
        <w:ind w:firstLine="540"/>
        <w:jc w:val="both"/>
      </w:pPr>
      <w:r>
        <w:rPr>
          <w:sz w:val="24"/>
        </w:rPr>
        <w:t xml:space="preserve">где:</w:t>
      </w:r>
    </w:p>
    <w:p>
      <w:pPr>
        <w:pStyle w:val="0"/>
        <w:spacing w:before="240" w:lineRule="auto"/>
        <w:ind w:firstLine="540"/>
        <w:jc w:val="both"/>
      </w:pPr>
      <w:r>
        <w:rPr>
          <w:sz w:val="24"/>
        </w:rPr>
        <w:t xml:space="preserve">З - затраты на оплату медицинской помощи всем застрахованным лицам за расчетный период;</w:t>
      </w:r>
    </w:p>
    <w:p>
      <w:pPr>
        <w:pStyle w:val="0"/>
        <w:spacing w:before="240" w:lineRule="auto"/>
        <w:ind w:firstLine="540"/>
        <w:jc w:val="both"/>
      </w:pPr>
      <w:r>
        <w:rPr>
          <w:sz w:val="24"/>
        </w:rPr>
        <w:t xml:space="preserve">М - количество месяцев в расчетном периоде;</w:t>
      </w:r>
    </w:p>
    <w:p>
      <w:pPr>
        <w:pStyle w:val="0"/>
        <w:spacing w:before="240" w:lineRule="auto"/>
        <w:ind w:firstLine="540"/>
        <w:jc w:val="both"/>
      </w:pPr>
      <w:r>
        <w:rPr>
          <w:sz w:val="24"/>
        </w:rPr>
        <w:t xml:space="preserve">Ч - численность застрахованных лиц на территории субъекта Российской Федерации;</w:t>
      </w:r>
    </w:p>
    <w:p>
      <w:pPr>
        <w:pStyle w:val="0"/>
        <w:spacing w:before="240" w:lineRule="auto"/>
        <w:ind w:firstLine="540"/>
        <w:jc w:val="both"/>
      </w:pPr>
      <w:r>
        <w:rPr>
          <w:sz w:val="24"/>
        </w:rPr>
        <w:t xml:space="preserve">определяются нормативы затрат на одно застрахованное лицо, попадающее в i-тый половозрастной интервал (Р</w:t>
      </w:r>
      <w:r>
        <w:rPr>
          <w:sz w:val="24"/>
          <w:vertAlign w:val="subscript"/>
        </w:rPr>
        <w:t xml:space="preserve">i</w:t>
      </w:r>
      <w:r>
        <w:rPr>
          <w:sz w:val="24"/>
        </w:rPr>
        <w:t xml:space="preserve">), по формуле:</w:t>
      </w:r>
    </w:p>
    <w:p>
      <w:pPr>
        <w:pStyle w:val="0"/>
        <w:jc w:val="both"/>
      </w:pPr>
      <w:r>
        <w:rPr>
          <w:sz w:val="24"/>
        </w:rPr>
      </w:r>
    </w:p>
    <w:p>
      <w:pPr>
        <w:pStyle w:val="0"/>
        <w:jc w:val="center"/>
      </w:pPr>
      <w:r>
        <w:rPr>
          <w:position w:val="-9"/>
        </w:rPr>
        <w:drawing>
          <wp:inline distT="0" distB="0" distL="0" distR="0">
            <wp:extent cx="1245870" cy="27432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18">
                      <a:extLst>
                        <a:ext uri="{28A0092B-C50C-407E-A947-70E740481C1C}">
                          <a14:useLocalDpi xmlns:a14="http://schemas.microsoft.com/office/drawing/2010/main" val="0"/>
                        </a:ext>
                      </a:extLst>
                    </a:blip>
                    <a:srcRect/>
                    <a:stretch>
                      <a:fillRect/>
                    </a:stretch>
                  </pic:blipFill>
                  <pic:spPr bwMode="auto">
                    <a:xfrm>
                      <a:off x="0" y="0"/>
                      <a:ext cx="1245870" cy="274320"/>
                    </a:xfrm>
                    <a:prstGeom prst="rect">
                      <a:avLst/>
                    </a:prstGeom>
                    <a:noFill/>
                    <a:ln>
                      <a:noFill/>
                    </a:ln>
                  </pic:spPr>
                </pic:pic>
              </a:graphicData>
            </a:graphic>
          </wp:inline>
        </w:drawing>
      </w:r>
    </w:p>
    <w:p>
      <w:pPr>
        <w:pStyle w:val="0"/>
        <w:jc w:val="both"/>
      </w:pPr>
      <w:r>
        <w:rPr>
          <w:sz w:val="24"/>
        </w:rPr>
      </w:r>
    </w:p>
    <w:p>
      <w:pPr>
        <w:pStyle w:val="0"/>
        <w:ind w:firstLine="540"/>
        <w:jc w:val="both"/>
      </w:pPr>
      <w:r>
        <w:rPr>
          <w:sz w:val="24"/>
        </w:rPr>
        <w:t xml:space="preserve">где:</w:t>
      </w:r>
    </w:p>
    <w:p>
      <w:pPr>
        <w:pStyle w:val="0"/>
        <w:spacing w:before="240" w:lineRule="auto"/>
        <w:ind w:firstLine="540"/>
        <w:jc w:val="both"/>
      </w:pPr>
      <w:r>
        <w:rPr>
          <w:sz w:val="24"/>
        </w:rPr>
        <w:t xml:space="preserve">З</w:t>
      </w:r>
      <w:r>
        <w:rPr>
          <w:sz w:val="24"/>
          <w:vertAlign w:val="subscript"/>
        </w:rPr>
        <w:t xml:space="preserve">i</w:t>
      </w:r>
      <w:r>
        <w:rPr>
          <w:sz w:val="24"/>
        </w:rPr>
        <w:t xml:space="preserve"> - затраты на оплату медицинской помощи всем застрахованным лицам, попадающим в i-тый половозрастной интервал за расчетный период;</w:t>
      </w:r>
    </w:p>
    <w:p>
      <w:pPr>
        <w:pStyle w:val="0"/>
        <w:spacing w:before="240" w:lineRule="auto"/>
        <w:ind w:firstLine="540"/>
        <w:jc w:val="both"/>
      </w:pPr>
      <w:r>
        <w:rPr>
          <w:sz w:val="24"/>
        </w:rPr>
        <w:t xml:space="preserve">М - количество месяцев в расчетном периоде;</w:t>
      </w:r>
    </w:p>
    <w:p>
      <w:pPr>
        <w:pStyle w:val="0"/>
        <w:spacing w:before="240" w:lineRule="auto"/>
        <w:ind w:firstLine="540"/>
        <w:jc w:val="both"/>
      </w:pPr>
      <w:r>
        <w:rPr>
          <w:sz w:val="24"/>
        </w:rPr>
        <w:t xml:space="preserve">Ч</w:t>
      </w:r>
      <w:r>
        <w:rPr>
          <w:sz w:val="24"/>
          <w:vertAlign w:val="subscript"/>
        </w:rPr>
        <w:t xml:space="preserve">i</w:t>
      </w:r>
      <w:r>
        <w:rPr>
          <w:sz w:val="24"/>
        </w:rPr>
        <w:t xml:space="preserve"> - численность застрахованных лиц субъекта Российской Федерации, попадающего в i-тый половозрастной интервал;</w:t>
      </w:r>
    </w:p>
    <w:p>
      <w:pPr>
        <w:pStyle w:val="0"/>
        <w:spacing w:before="240" w:lineRule="auto"/>
        <w:ind w:firstLine="540"/>
        <w:jc w:val="both"/>
      </w:pPr>
      <w:r>
        <w:rPr>
          <w:sz w:val="24"/>
        </w:rPr>
        <w:t xml:space="preserve">рассчитываются коэффициенты дифференциации КД</w:t>
      </w:r>
      <w:r>
        <w:rPr>
          <w:sz w:val="24"/>
          <w:vertAlign w:val="subscript"/>
        </w:rPr>
        <w:t xml:space="preserve">i</w:t>
      </w:r>
      <w:r>
        <w:rPr>
          <w:sz w:val="24"/>
        </w:rPr>
        <w:t xml:space="preserve"> для каждой половозрастной группы по формуле:</w:t>
      </w:r>
    </w:p>
    <w:p>
      <w:pPr>
        <w:pStyle w:val="0"/>
        <w:jc w:val="both"/>
      </w:pPr>
      <w:r>
        <w:rPr>
          <w:sz w:val="24"/>
        </w:rPr>
      </w:r>
    </w:p>
    <w:p>
      <w:pPr>
        <w:pStyle w:val="0"/>
        <w:jc w:val="center"/>
      </w:pPr>
      <w:r>
        <w:rPr>
          <w:position w:val="-9"/>
        </w:rPr>
        <w:drawing>
          <wp:inline distT="0" distB="0" distL="0" distR="0">
            <wp:extent cx="1017270" cy="27432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19">
                      <a:extLst>
                        <a:ext uri="{28A0092B-C50C-407E-A947-70E740481C1C}">
                          <a14:useLocalDpi xmlns:a14="http://schemas.microsoft.com/office/drawing/2010/main" val="0"/>
                        </a:ext>
                      </a:extLst>
                    </a:blip>
                    <a:srcRect/>
                    <a:stretch>
                      <a:fillRect/>
                    </a:stretch>
                  </pic:blipFill>
                  <pic:spPr bwMode="auto">
                    <a:xfrm>
                      <a:off x="0" y="0"/>
                      <a:ext cx="1017270" cy="274320"/>
                    </a:xfrm>
                    <a:prstGeom prst="rect">
                      <a:avLst/>
                    </a:prstGeom>
                    <a:noFill/>
                    <a:ln>
                      <a:noFill/>
                    </a:ln>
                  </pic:spPr>
                </pic:pic>
              </a:graphicData>
            </a:graphic>
          </wp:inline>
        </w:drawing>
      </w:r>
    </w:p>
    <w:p>
      <w:pPr>
        <w:pStyle w:val="0"/>
        <w:jc w:val="both"/>
      </w:pPr>
      <w:r>
        <w:rPr>
          <w:sz w:val="24"/>
        </w:rPr>
      </w:r>
    </w:p>
    <w:p>
      <w:pPr>
        <w:pStyle w:val="0"/>
        <w:ind w:firstLine="540"/>
        <w:jc w:val="both"/>
      </w:pPr>
      <w:r>
        <w:rPr>
          <w:sz w:val="24"/>
        </w:rPr>
        <w:t xml:space="preserve">2) рассчитывается среднедушевой норматив финансирования страховых медицинских организаций (С) по формуле:</w:t>
      </w:r>
    </w:p>
    <w:p>
      <w:pPr>
        <w:pStyle w:val="0"/>
        <w:jc w:val="both"/>
      </w:pPr>
      <w:r>
        <w:rPr>
          <w:sz w:val="24"/>
        </w:rPr>
      </w:r>
    </w:p>
    <w:p>
      <w:pPr>
        <w:pStyle w:val="0"/>
        <w:jc w:val="center"/>
      </w:pPr>
      <w:r>
        <w:rPr>
          <w:position w:val="-6"/>
        </w:rPr>
        <w:drawing>
          <wp:inline distT="0" distB="0" distL="0" distR="0">
            <wp:extent cx="1920240" cy="24003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20">
                      <a:extLst>
                        <a:ext uri="{28A0092B-C50C-407E-A947-70E740481C1C}">
                          <a14:useLocalDpi xmlns:a14="http://schemas.microsoft.com/office/drawing/2010/main" val="0"/>
                        </a:ext>
                      </a:extLst>
                    </a:blip>
                    <a:srcRect/>
                    <a:stretch>
                      <a:fillRect/>
                    </a:stretch>
                  </pic:blipFill>
                  <pic:spPr bwMode="auto">
                    <a:xfrm>
                      <a:off x="0" y="0"/>
                      <a:ext cx="1920240" cy="240030"/>
                    </a:xfrm>
                    <a:prstGeom prst="rect">
                      <a:avLst/>
                    </a:prstGeom>
                    <a:noFill/>
                    <a:ln>
                      <a:noFill/>
                    </a:ln>
                  </pic:spPr>
                </pic:pic>
              </a:graphicData>
            </a:graphic>
          </wp:inline>
        </w:drawing>
      </w:r>
    </w:p>
    <w:p>
      <w:pPr>
        <w:pStyle w:val="0"/>
        <w:jc w:val="both"/>
      </w:pPr>
      <w:r>
        <w:rPr>
          <w:sz w:val="24"/>
        </w:rPr>
      </w:r>
    </w:p>
    <w:p>
      <w:pPr>
        <w:pStyle w:val="0"/>
        <w:ind w:firstLine="540"/>
        <w:jc w:val="both"/>
      </w:pPr>
      <w:r>
        <w:rPr>
          <w:sz w:val="24"/>
        </w:rPr>
        <w:t xml:space="preserve">где:</w:t>
      </w:r>
    </w:p>
    <w:p>
      <w:pPr>
        <w:pStyle w:val="0"/>
        <w:spacing w:before="240" w:lineRule="auto"/>
        <w:ind w:firstLine="540"/>
        <w:jc w:val="both"/>
      </w:pPr>
      <w:r>
        <w:rPr>
          <w:sz w:val="24"/>
        </w:rPr>
        <w:t xml:space="preserve">П - поступившие в отчетном месяце в бюджет территориального фонда средства на финансовое обеспечение обязательного медицинского страхования (без учета остатка средств за предыдущие периоды);</w:t>
      </w:r>
    </w:p>
    <w:p>
      <w:pPr>
        <w:pStyle w:val="0"/>
        <w:spacing w:before="240" w:lineRule="auto"/>
        <w:ind w:firstLine="540"/>
        <w:jc w:val="both"/>
      </w:pPr>
      <w:r>
        <w:rPr>
          <w:position w:val="-3"/>
        </w:rPr>
        <w:drawing>
          <wp:inline distT="0" distB="0" distL="0" distR="0">
            <wp:extent cx="308610" cy="19431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21">
                      <a:extLst>
                        <a:ext uri="{28A0092B-C50C-407E-A947-70E740481C1C}">
                          <a14:useLocalDpi xmlns:a14="http://schemas.microsoft.com/office/drawing/2010/main" val="0"/>
                        </a:ext>
                      </a:extLst>
                    </a:blip>
                    <a:srcRect/>
                    <a:stretch>
                      <a:fillRect/>
                    </a:stretch>
                  </pic:blipFill>
                  <pic:spPr bwMode="auto">
                    <a:xfrm>
                      <a:off x="0" y="0"/>
                      <a:ext cx="308610" cy="194310"/>
                    </a:xfrm>
                    <a:prstGeom prst="rect">
                      <a:avLst/>
                    </a:prstGeom>
                    <a:noFill/>
                    <a:ln>
                      <a:noFill/>
                    </a:ln>
                  </pic:spPr>
                </pic:pic>
              </a:graphicData>
            </a:graphic>
          </wp:inline>
        </w:drawing>
      </w:r>
      <w:r>
        <w:rPr>
          <w:sz w:val="24"/>
        </w:rPr>
        <w:t xml:space="preserve"> - размер средств, необходимых для пополнения нормированного страхового запаса территориального фонда за счет средств, поступивших в расчетном месяце в бюджет территориального фонда на финансовое обеспечение обязательного медицинского страхования в объеме не более 1/12 от годового размера средств нормированного страхового запаса, утвержденного в бюджете территориального фонда на текущий год на цели, предусмотренные </w:t>
      </w:r>
      <w:hyperlink w:history="0" r:id="rId222" w:tooltip="Федеральный закон от 29.11.2010 N 326-ФЗ (ред. от 20.02.2026) &quot;Об обязательном медицинском страховании в Российской Федерации&quot; {КонсультантПлюс}">
        <w:r>
          <w:rPr>
            <w:sz w:val="24"/>
            <w:color w:val="0000ff"/>
          </w:rPr>
          <w:t xml:space="preserve">пунктом 1</w:t>
        </w:r>
      </w:hyperlink>
      <w:r>
        <w:rPr>
          <w:sz w:val="24"/>
        </w:rPr>
        <w:t xml:space="preserve"> и </w:t>
      </w:r>
      <w:hyperlink w:history="0" r:id="rId223" w:tooltip="Федеральный закон от 29.11.2010 N 326-ФЗ (ред. от 20.02.2026) &quot;Об обязательном медицинском страховании в Российской Федерации&quot; {КонсультантПлюс}">
        <w:r>
          <w:rPr>
            <w:sz w:val="24"/>
            <w:color w:val="0000ff"/>
          </w:rPr>
          <w:t xml:space="preserve">пунктом 2 части 6 статьи 26</w:t>
        </w:r>
      </w:hyperlink>
      <w:r>
        <w:rPr>
          <w:sz w:val="24"/>
        </w:rPr>
        <w:t xml:space="preserve"> Федерального закона;</w:t>
      </w:r>
    </w:p>
    <w:p>
      <w:pPr>
        <w:pStyle w:val="0"/>
        <w:spacing w:before="240" w:lineRule="auto"/>
        <w:ind w:firstLine="540"/>
        <w:jc w:val="both"/>
      </w:pPr>
      <w:r>
        <w:rPr>
          <w:sz w:val="24"/>
        </w:rPr>
        <w:t xml:space="preserve">У - размер средств обязательного медицинского страхования, направленных в расчетном месяце на осуществление управленческих функций территориального фонда, в пределах месячного объема лимита бюджетных обязательств, предусмотренных на указанные цели;</w:t>
      </w:r>
    </w:p>
    <w:p>
      <w:pPr>
        <w:pStyle w:val="0"/>
        <w:spacing w:before="240" w:lineRule="auto"/>
        <w:ind w:firstLine="540"/>
        <w:jc w:val="both"/>
      </w:pPr>
      <w:r>
        <w:rPr>
          <w:sz w:val="24"/>
        </w:rPr>
        <w:t xml:space="preserve">Р - размер средств, предназначенных на расходы на ведение дела по обязательному медицинскому страхованию страховых медицинских организаций;</w:t>
      </w:r>
    </w:p>
    <w:p>
      <w:pPr>
        <w:pStyle w:val="0"/>
        <w:spacing w:before="240" w:lineRule="auto"/>
        <w:ind w:firstLine="540"/>
        <w:jc w:val="both"/>
      </w:pPr>
      <w:r>
        <w:rPr>
          <w:sz w:val="24"/>
        </w:rPr>
        <w:t xml:space="preserve">Ч - среднемесячная численность застрахованных лиц субъекта Российской Федерации;</w:t>
      </w:r>
    </w:p>
    <w:p>
      <w:pPr>
        <w:pStyle w:val="0"/>
        <w:spacing w:before="240" w:lineRule="auto"/>
        <w:ind w:firstLine="540"/>
        <w:jc w:val="both"/>
      </w:pPr>
      <w:r>
        <w:rPr>
          <w:sz w:val="24"/>
        </w:rPr>
        <w:t xml:space="preserve">3) рассчитываются дифференцированные подушевые нормативы для половозрастных групп застрахованных лиц с использованием коэффициентов дифференциации по формуле:</w:t>
      </w:r>
    </w:p>
    <w:p>
      <w:pPr>
        <w:pStyle w:val="0"/>
        <w:jc w:val="both"/>
      </w:pPr>
      <w:r>
        <w:rPr>
          <w:sz w:val="24"/>
        </w:rPr>
      </w:r>
    </w:p>
    <w:p>
      <w:pPr>
        <w:pStyle w:val="0"/>
        <w:jc w:val="center"/>
      </w:pPr>
      <w:r>
        <w:rPr>
          <w:sz w:val="24"/>
        </w:rPr>
        <w:t xml:space="preserve">Д</w:t>
      </w:r>
      <w:r>
        <w:rPr>
          <w:sz w:val="24"/>
          <w:vertAlign w:val="subscript"/>
        </w:rPr>
        <w:t xml:space="preserve">i</w:t>
      </w:r>
      <w:r>
        <w:rPr>
          <w:sz w:val="24"/>
        </w:rPr>
        <w:t xml:space="preserve"> = С x КД</w:t>
      </w:r>
      <w:r>
        <w:rPr>
          <w:sz w:val="24"/>
          <w:vertAlign w:val="subscript"/>
        </w:rPr>
        <w:t xml:space="preserve">i</w:t>
      </w:r>
      <w:r>
        <w:rPr>
          <w:sz w:val="24"/>
        </w:rPr>
        <w:t xml:space="preserve">,</w:t>
      </w:r>
    </w:p>
    <w:p>
      <w:pPr>
        <w:pStyle w:val="0"/>
        <w:jc w:val="both"/>
      </w:pPr>
      <w:r>
        <w:rPr>
          <w:sz w:val="24"/>
        </w:rPr>
      </w:r>
    </w:p>
    <w:p>
      <w:pPr>
        <w:pStyle w:val="0"/>
        <w:ind w:firstLine="540"/>
        <w:jc w:val="both"/>
      </w:pPr>
      <w:r>
        <w:rPr>
          <w:sz w:val="24"/>
        </w:rPr>
        <w:t xml:space="preserve">где:</w:t>
      </w:r>
    </w:p>
    <w:p>
      <w:pPr>
        <w:pStyle w:val="0"/>
        <w:spacing w:before="240" w:lineRule="auto"/>
        <w:ind w:firstLine="540"/>
        <w:jc w:val="both"/>
      </w:pPr>
      <w:r>
        <w:rPr>
          <w:sz w:val="24"/>
        </w:rPr>
        <w:t xml:space="preserve">С - среднедушевой норматив финансирования страховой медицинской организации;</w:t>
      </w:r>
    </w:p>
    <w:p>
      <w:pPr>
        <w:pStyle w:val="0"/>
        <w:spacing w:before="240" w:lineRule="auto"/>
        <w:ind w:firstLine="540"/>
        <w:jc w:val="both"/>
      </w:pPr>
      <w:r>
        <w:rPr>
          <w:sz w:val="24"/>
        </w:rPr>
        <w:t xml:space="preserve">Д</w:t>
      </w:r>
      <w:r>
        <w:rPr>
          <w:sz w:val="24"/>
          <w:vertAlign w:val="subscript"/>
        </w:rPr>
        <w:t xml:space="preserve">i</w:t>
      </w:r>
      <w:r>
        <w:rPr>
          <w:sz w:val="24"/>
        </w:rPr>
        <w:t xml:space="preserve"> - дифференцированный подушевой норматив для i-той половозрастной группы застрахованных лиц;</w:t>
      </w:r>
    </w:p>
    <w:p>
      <w:pPr>
        <w:pStyle w:val="0"/>
        <w:spacing w:before="240" w:lineRule="auto"/>
        <w:ind w:firstLine="540"/>
        <w:jc w:val="both"/>
      </w:pPr>
      <w:r>
        <w:rPr>
          <w:sz w:val="24"/>
        </w:rPr>
        <w:t xml:space="preserve">КД</w:t>
      </w:r>
      <w:r>
        <w:rPr>
          <w:sz w:val="24"/>
          <w:vertAlign w:val="subscript"/>
        </w:rPr>
        <w:t xml:space="preserve">i</w:t>
      </w:r>
      <w:r>
        <w:rPr>
          <w:sz w:val="24"/>
        </w:rPr>
        <w:t xml:space="preserve"> - коэффициент дифференциации для i-той половозрастной группы застрахованных лиц.</w:t>
      </w:r>
    </w:p>
    <w:p>
      <w:pPr>
        <w:pStyle w:val="0"/>
        <w:jc w:val="both"/>
      </w:pPr>
      <w:r>
        <w:rPr>
          <w:sz w:val="24"/>
        </w:rPr>
      </w:r>
    </w:p>
    <w:p>
      <w:pPr>
        <w:pStyle w:val="2"/>
        <w:outlineLvl w:val="1"/>
        <w:jc w:val="center"/>
      </w:pPr>
      <w:r>
        <w:rPr>
          <w:sz w:val="24"/>
        </w:rPr>
        <w:t xml:space="preserve">XI. Методика расчета тарифов на оплату медицинской помощи</w:t>
      </w:r>
    </w:p>
    <w:p>
      <w:pPr>
        <w:pStyle w:val="2"/>
        <w:jc w:val="center"/>
      </w:pPr>
      <w:r>
        <w:rPr>
          <w:sz w:val="24"/>
        </w:rPr>
        <w:t xml:space="preserve">по обязательному медицинскому страхованию</w:t>
      </w:r>
    </w:p>
    <w:p>
      <w:pPr>
        <w:pStyle w:val="0"/>
        <w:jc w:val="both"/>
      </w:pPr>
      <w:r>
        <w:rPr>
          <w:sz w:val="24"/>
        </w:rPr>
      </w:r>
    </w:p>
    <w:p>
      <w:pPr>
        <w:pStyle w:val="0"/>
        <w:ind w:firstLine="540"/>
        <w:jc w:val="both"/>
      </w:pPr>
      <w:r>
        <w:rPr>
          <w:sz w:val="24"/>
        </w:rPr>
        <w:t xml:space="preserve">264. Расчет тарифов осуществляется на единицу объема медицинской помощи (медицинской услуги), за вызов скорой медицинской помощи, за законченный случай лечения заболевания, на основе подушевого норматива финансирования медицинской организации на прикрепленных к медицинской организации застрахованных лиц (обслуживаемых медицинской организацией), а также подушевого норматива финансирования медицинской помощи по всем видам и условиям оказания медицинской помощи.</w:t>
      </w:r>
    </w:p>
    <w:p>
      <w:pPr>
        <w:pStyle w:val="0"/>
        <w:spacing w:before="240" w:lineRule="auto"/>
        <w:ind w:firstLine="540"/>
        <w:jc w:val="both"/>
      </w:pPr>
      <w:r>
        <w:rPr>
          <w:sz w:val="24"/>
        </w:rPr>
        <w:t xml:space="preserve">265. Тариф за законченный случай лечения заболевания может рассчитываться на однородные группы случаев оказания медицинской помощи - КСГ, представляющие собой группы заболеваний, относящихся к одному профилю медицинской помощи и сходных по используемым методам диагностики и лечения пациентов и средней ресурсоемкости (стоимость, структура затрат и набор используемых ресурсов).</w:t>
      </w:r>
    </w:p>
    <w:p>
      <w:pPr>
        <w:pStyle w:val="0"/>
        <w:spacing w:before="240" w:lineRule="auto"/>
        <w:ind w:firstLine="540"/>
        <w:jc w:val="both"/>
      </w:pPr>
      <w:r>
        <w:rPr>
          <w:sz w:val="24"/>
        </w:rPr>
        <w:t xml:space="preserve">266. Расчет тарифа на основе подушевого норматива финансирования медицинской организации, в том числе при установлении подушевого норматива финансирования для детского и взрослого населения, осуществляется с учетом коэффициентов половозрастных затрат на оказание медицинской помощи конкретной медицинской организации и иных коэффициентов, установленных тарифным соглашением, заключаемым в субъекте Российской Федерации в соответствии со </w:t>
      </w:r>
      <w:hyperlink w:history="0" r:id="rId224" w:tooltip="Федеральный закон от 29.11.2010 N 326-ФЗ (ред. от 20.02.2026) &quot;Об обязательном медицинском страховании в Российской Федерации&quot; {КонсультантПлюс}">
        <w:r>
          <w:rPr>
            <w:sz w:val="24"/>
            <w:color w:val="0000ff"/>
          </w:rPr>
          <w:t xml:space="preserve">статьей 30</w:t>
        </w:r>
      </w:hyperlink>
      <w:r>
        <w:rPr>
          <w:sz w:val="24"/>
        </w:rPr>
        <w:t xml:space="preserve"> Федерального закона.</w:t>
      </w:r>
    </w:p>
    <w:p>
      <w:pPr>
        <w:pStyle w:val="0"/>
        <w:spacing w:before="240" w:lineRule="auto"/>
        <w:ind w:firstLine="540"/>
        <w:jc w:val="both"/>
      </w:pPr>
      <w:r>
        <w:rPr>
          <w:sz w:val="24"/>
        </w:rPr>
        <w:t xml:space="preserve">267. Тарифы рассчитываются в соответствии с настоящей главой Правил и включают в себя статьи затрат, установленные территориальной программой.</w:t>
      </w:r>
    </w:p>
    <w:p>
      <w:pPr>
        <w:pStyle w:val="0"/>
        <w:spacing w:before="240" w:lineRule="auto"/>
        <w:ind w:firstLine="540"/>
        <w:jc w:val="both"/>
      </w:pPr>
      <w:r>
        <w:rPr>
          <w:sz w:val="24"/>
        </w:rPr>
        <w:t xml:space="preserve">268. Тариф на оплату медицинской помощи включает в себя:</w:t>
      </w:r>
    </w:p>
    <w:p>
      <w:pPr>
        <w:pStyle w:val="0"/>
        <w:spacing w:before="240" w:lineRule="auto"/>
        <w:ind w:firstLine="540"/>
        <w:jc w:val="both"/>
      </w:pPr>
      <w:r>
        <w:rPr>
          <w:sz w:val="24"/>
        </w:rPr>
        <w:t xml:space="preserve">1) расходы на заработную плату, начисления на оплату труда, прочие выплаты, приобретение лекарственных средств, расходных материалов, продуктов питания, мягкого инвентаря, медицинского инструментария, реактивов и химикатов, прочих материальных запасов, расходы на оплату стоимости лабораторных и инструментальных исследований, проводимых в других учреждениях (при отсутствии в медицинской организации лаборатории и диагностического оборудования), организации питания (при отсутствии организованного питания в медицинской организации), расходы на оплату услуг связи, транспортных услуг, коммунальных услуг, работ и услуг по содержанию имущества, включая расходы на техническое обслуживание и ремонт основных средств, расходы на арендную плату за пользование имуществом, оплату программного обеспечения, включая расходы на его содержание, эксплуатацию, развитие и приобретение, и прочих услуг, социальное обеспечение работников медицинских организаций, установленное законодательством Российской Федерации, прочие расходы, которые детализируются в соответствии с порядком, устанавливаемым в соответствии со </w:t>
      </w:r>
      <w:hyperlink w:history="0" r:id="rId225" w:tooltip="&quot;Бюджетный кодекс Российской Федерации&quot; от 31.07.1998 N 145-ФЗ (ред. от 26.06.2026) (с изм. и доп., вступ. в силу с 01.07.2026) {КонсультантПлюс}">
        <w:r>
          <w:rPr>
            <w:sz w:val="24"/>
            <w:color w:val="0000ff"/>
          </w:rPr>
          <w:t xml:space="preserve">статьями 18</w:t>
        </w:r>
      </w:hyperlink>
      <w:r>
        <w:rPr>
          <w:sz w:val="24"/>
        </w:rPr>
        <w:t xml:space="preserve">, </w:t>
      </w:r>
      <w:hyperlink w:history="0" r:id="rId226" w:tooltip="&quot;Бюджетный кодекс Российской Федерации&quot; от 31.07.1998 N 145-ФЗ (ред. от 26.06.2026) (с изм. и доп., вступ. в силу с 01.07.2026) {КонсультантПлюс}">
        <w:r>
          <w:rPr>
            <w:sz w:val="24"/>
            <w:color w:val="0000ff"/>
          </w:rPr>
          <w:t xml:space="preserve">23.1</w:t>
        </w:r>
      </w:hyperlink>
      <w:r>
        <w:rPr>
          <w:sz w:val="24"/>
        </w:rPr>
        <w:t xml:space="preserve"> и </w:t>
      </w:r>
      <w:hyperlink w:history="0" r:id="rId227" w:tooltip="&quot;Бюджетный кодекс Российской Федерации&quot; от 31.07.1998 N 145-ФЗ (ред. от 26.06.2026) (с изм. и доп., вступ. в силу с 01.07.2026) {КонсультантПлюс}">
        <w:r>
          <w:rPr>
            <w:sz w:val="24"/>
            <w:color w:val="0000ff"/>
          </w:rPr>
          <w:t xml:space="preserve">165</w:t>
        </w:r>
      </w:hyperlink>
      <w:r>
        <w:rPr>
          <w:sz w:val="24"/>
        </w:rPr>
        <w:t xml:space="preserve"> Бюджетного кодекса Российской Федерации, расходы на приобретение основных средств (оборудование, производственный и хозяйственный инвентарь) стоимостью до четырехсот тысяч рублей за единицу в соответствии с </w:t>
      </w:r>
      <w:hyperlink w:history="0" r:id="rId228" w:tooltip="Федеральный закон от 29.11.2010 N 326-ФЗ (ред. от 20.02.2026) &quot;Об обязательном медицинском страховании в Российской Федерации&quot; {КонсультантПлюс}">
        <w:r>
          <w:rPr>
            <w:sz w:val="24"/>
            <w:color w:val="0000ff"/>
          </w:rPr>
          <w:t xml:space="preserve">частью 7 статьи 35</w:t>
        </w:r>
      </w:hyperlink>
      <w:r>
        <w:rPr>
          <w:sz w:val="24"/>
        </w:rPr>
        <w:t xml:space="preserve"> Федерального закона;</w:t>
      </w:r>
    </w:p>
    <w:p>
      <w:pPr>
        <w:pStyle w:val="0"/>
        <w:spacing w:before="240" w:lineRule="auto"/>
        <w:ind w:firstLine="540"/>
        <w:jc w:val="both"/>
      </w:pPr>
      <w:r>
        <w:rPr>
          <w:sz w:val="24"/>
        </w:rPr>
        <w:t xml:space="preserve">2) дополнительные элементы структуры тарифа на оплату медицинской помощи, определенные </w:t>
      </w:r>
      <w:hyperlink w:history="0" r:id="rId229" w:tooltip="Справочная информация: &quot;Стандарты и порядки оказания медицинской помощи&quot; (Материал подготовлен специалистами КонсультантПлюс) {КонсультантПлюс}">
        <w:r>
          <w:rPr>
            <w:sz w:val="24"/>
            <w:color w:val="0000ff"/>
          </w:rPr>
          <w:t xml:space="preserve">Программой</w:t>
        </w:r>
      </w:hyperlink>
      <w:r>
        <w:rPr>
          <w:sz w:val="24"/>
        </w:rPr>
        <w:t xml:space="preserve"> государственных гарантий оказания гражданам Российской Федерации бесплатной медицинской помощи, утвержденной Правительством Российской Федерации в соответствии с </w:t>
      </w:r>
      <w:hyperlink w:history="0" r:id="rId230" w:tooltip="Федеральный закон от 29.11.2010 N 326-ФЗ (ред. от 20.02.2026) &quot;Об обязательном медицинском страховании в Российской Федерации&quot; {КонсультантПлюс}">
        <w:r>
          <w:rPr>
            <w:sz w:val="24"/>
            <w:color w:val="0000ff"/>
          </w:rPr>
          <w:t xml:space="preserve">частью 8 статьи 35</w:t>
        </w:r>
      </w:hyperlink>
      <w:r>
        <w:rPr>
          <w:sz w:val="24"/>
        </w:rPr>
        <w:t xml:space="preserve"> Федерального закона;</w:t>
      </w:r>
    </w:p>
    <w:p>
      <w:pPr>
        <w:pStyle w:val="0"/>
        <w:spacing w:before="240" w:lineRule="auto"/>
        <w:ind w:firstLine="540"/>
        <w:jc w:val="both"/>
      </w:pPr>
      <w:r>
        <w:rPr>
          <w:sz w:val="24"/>
        </w:rPr>
        <w:t xml:space="preserve">3) расходы, определенные территориальной программой в случае установления дополнительного объема страхового обеспечения по страховым случаям, установленным базовой программой за счет средств субвенций из бюджета Федерального фонда и межбюджетных трансфертов из бюджетов субъектов Российской Федерации в бюджет территориального фонда.</w:t>
      </w:r>
    </w:p>
    <w:p>
      <w:pPr>
        <w:pStyle w:val="0"/>
        <w:spacing w:before="240" w:lineRule="auto"/>
        <w:ind w:firstLine="540"/>
        <w:jc w:val="both"/>
      </w:pPr>
      <w:r>
        <w:rPr>
          <w:sz w:val="24"/>
        </w:rPr>
        <w:t xml:space="preserve">269. Для установления тарифов используются следующие методы определения затрат:</w:t>
      </w:r>
    </w:p>
    <w:p>
      <w:pPr>
        <w:pStyle w:val="0"/>
        <w:spacing w:before="240" w:lineRule="auto"/>
        <w:ind w:firstLine="540"/>
        <w:jc w:val="both"/>
      </w:pPr>
      <w:r>
        <w:rPr>
          <w:sz w:val="24"/>
        </w:rPr>
        <w:t xml:space="preserve">1) нормативный;</w:t>
      </w:r>
    </w:p>
    <w:p>
      <w:pPr>
        <w:pStyle w:val="0"/>
        <w:spacing w:before="240" w:lineRule="auto"/>
        <w:ind w:firstLine="540"/>
        <w:jc w:val="both"/>
      </w:pPr>
      <w:r>
        <w:rPr>
          <w:sz w:val="24"/>
        </w:rPr>
        <w:t xml:space="preserve">2) структурный;</w:t>
      </w:r>
    </w:p>
    <w:p>
      <w:pPr>
        <w:pStyle w:val="0"/>
        <w:spacing w:before="240" w:lineRule="auto"/>
        <w:ind w:firstLine="540"/>
        <w:jc w:val="both"/>
      </w:pPr>
      <w:r>
        <w:rPr>
          <w:sz w:val="24"/>
        </w:rPr>
        <w:t xml:space="preserve">3) экспертный.</w:t>
      </w:r>
    </w:p>
    <w:p>
      <w:pPr>
        <w:pStyle w:val="0"/>
        <w:spacing w:before="240" w:lineRule="auto"/>
        <w:ind w:firstLine="540"/>
        <w:jc w:val="both"/>
      </w:pPr>
      <w:r>
        <w:rPr>
          <w:sz w:val="24"/>
        </w:rPr>
        <w:t xml:space="preserve">270. В случае наличия утвержденных нормативов затрат, выраженных в натуральных показателях, в том числе нормативов питания, оснащения мягким инвентарем, лекарственными препаратами, норм потребления расходных материалов, нормативов затрат рабочего времени, объемов снижения потребления энергетических ресурсов в соответствии с требованиями энергетической эффективности или иных натуральных параметров оказания медицинской помощи, указанные нормативы затрат, выраженные в натуральных показателях, используются при определении тарифов.</w:t>
      </w:r>
    </w:p>
    <w:p>
      <w:pPr>
        <w:pStyle w:val="0"/>
        <w:spacing w:before="240" w:lineRule="auto"/>
        <w:ind w:firstLine="540"/>
        <w:jc w:val="both"/>
      </w:pPr>
      <w:r>
        <w:rPr>
          <w:sz w:val="24"/>
        </w:rPr>
        <w:t xml:space="preserve">271. При применении структурного метода затраты в отношении соответствующей группы затрат определяются пропорционально выбранному основанию, в том числе затратам на оплату труда и начислениям на выплаты по оплате труда работников, участвующих непосредственно в оказании медицинской помощи; численности работников, участвующих непосредственно в оказании медицинской помощи; площади помещения, используемого для оказания медицинской помощи.</w:t>
      </w:r>
    </w:p>
    <w:p>
      <w:pPr>
        <w:pStyle w:val="0"/>
        <w:spacing w:before="240" w:lineRule="auto"/>
        <w:ind w:firstLine="540"/>
        <w:jc w:val="both"/>
      </w:pPr>
      <w:r>
        <w:rPr>
          <w:sz w:val="24"/>
        </w:rPr>
        <w:t xml:space="preserve">272. При применении экспертного метода затраты в отношении соответствующей группы затрат определяются на основании экспертной оценки, в том числе оценки доли группы затрат (трудозатраты) в общем объеме затрат, необходимых для оказания медицинской помощи.</w:t>
      </w:r>
    </w:p>
    <w:p>
      <w:pPr>
        <w:pStyle w:val="0"/>
        <w:spacing w:before="240" w:lineRule="auto"/>
        <w:ind w:firstLine="540"/>
        <w:jc w:val="both"/>
      </w:pPr>
      <w:r>
        <w:rPr>
          <w:sz w:val="24"/>
        </w:rPr>
        <w:t xml:space="preserve">273. Тариф на оказание i-той медицинской услуги (Т</w:t>
      </w:r>
      <w:r>
        <w:rPr>
          <w:sz w:val="24"/>
          <w:vertAlign w:val="subscript"/>
        </w:rPr>
        <w:t xml:space="preserve">i</w:t>
      </w:r>
      <w:r>
        <w:rPr>
          <w:sz w:val="24"/>
        </w:rPr>
        <w:t xml:space="preserve">) определяется по формуле:</w:t>
      </w:r>
    </w:p>
    <w:p>
      <w:pPr>
        <w:pStyle w:val="0"/>
        <w:jc w:val="both"/>
      </w:pPr>
      <w:r>
        <w:rPr>
          <w:sz w:val="24"/>
        </w:rPr>
      </w:r>
    </w:p>
    <w:p>
      <w:pPr>
        <w:pStyle w:val="0"/>
        <w:jc w:val="center"/>
      </w:pPr>
      <w:r>
        <w:rPr>
          <w:position w:val="-14"/>
        </w:rPr>
        <w:drawing>
          <wp:inline distT="0" distB="0" distL="0" distR="0">
            <wp:extent cx="914400" cy="33147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31">
                      <a:extLst>
                        <a:ext uri="{28A0092B-C50C-407E-A947-70E740481C1C}">
                          <a14:useLocalDpi xmlns:a14="http://schemas.microsoft.com/office/drawing/2010/main" val="0"/>
                        </a:ext>
                      </a:extLst>
                    </a:blip>
                    <a:srcRect/>
                    <a:stretch>
                      <a:fillRect/>
                    </a:stretch>
                  </pic:blipFill>
                  <pic:spPr bwMode="auto">
                    <a:xfrm>
                      <a:off x="0" y="0"/>
                      <a:ext cx="914400" cy="331470"/>
                    </a:xfrm>
                    <a:prstGeom prst="rect">
                      <a:avLst/>
                    </a:prstGeom>
                    <a:noFill/>
                    <a:ln>
                      <a:noFill/>
                    </a:ln>
                  </pic:spPr>
                </pic:pic>
              </a:graphicData>
            </a:graphic>
          </wp:inline>
        </w:drawing>
      </w:r>
    </w:p>
    <w:p>
      <w:pPr>
        <w:pStyle w:val="0"/>
        <w:jc w:val="both"/>
      </w:pPr>
      <w:r>
        <w:rPr>
          <w:sz w:val="24"/>
        </w:rPr>
      </w:r>
    </w:p>
    <w:p>
      <w:pPr>
        <w:pStyle w:val="0"/>
        <w:ind w:firstLine="540"/>
        <w:jc w:val="both"/>
      </w:pPr>
      <w:r>
        <w:rPr>
          <w:sz w:val="24"/>
        </w:rPr>
        <w:t xml:space="preserve">где G</w:t>
      </w:r>
      <w:r>
        <w:rPr>
          <w:sz w:val="24"/>
          <w:vertAlign w:val="subscript"/>
        </w:rPr>
        <w:t xml:space="preserve">j</w:t>
      </w:r>
      <w:r>
        <w:rPr>
          <w:sz w:val="24"/>
        </w:rPr>
        <w:t xml:space="preserve"> - затраты, определенные для j-той группы затрат на единицу объема медицинской помощи (медицинской услуги) на соответствующий финансовый год.</w:t>
      </w:r>
    </w:p>
    <w:p>
      <w:pPr>
        <w:pStyle w:val="0"/>
        <w:spacing w:before="240" w:lineRule="auto"/>
        <w:ind w:firstLine="540"/>
        <w:jc w:val="both"/>
      </w:pPr>
      <w:r>
        <w:rPr>
          <w:sz w:val="24"/>
        </w:rPr>
        <w:t xml:space="preserve">274. В расчет тарифов включаются затраты медицинской организации, непосредственно связанные с оказанием медицинской помощи и потребляемые в процессе ее предоставления, и затраты, необходимые для обеспечения деятельности медицинской организации в целом, но не потребляемые непосредственно в процессе оказания медицинской помощи.</w:t>
      </w:r>
    </w:p>
    <w:p>
      <w:pPr>
        <w:pStyle w:val="0"/>
        <w:spacing w:before="240" w:lineRule="auto"/>
        <w:ind w:firstLine="540"/>
        <w:jc w:val="both"/>
      </w:pPr>
      <w:r>
        <w:rPr>
          <w:sz w:val="24"/>
        </w:rPr>
        <w:t xml:space="preserve">275. В составе затрат, непосредственно связанных с оказанием медицинской помощи, учитываются следующие группы затрат:</w:t>
      </w:r>
    </w:p>
    <w:p>
      <w:pPr>
        <w:pStyle w:val="0"/>
        <w:spacing w:before="240" w:lineRule="auto"/>
        <w:ind w:firstLine="540"/>
        <w:jc w:val="both"/>
      </w:pPr>
      <w:r>
        <w:rPr>
          <w:sz w:val="24"/>
        </w:rPr>
        <w:t xml:space="preserve">1) затраты на оплату труда и начисления на выплаты по оплате труда работников, принимающих непосредственное участие в оказании медицинской помощи;</w:t>
      </w:r>
    </w:p>
    <w:p>
      <w:pPr>
        <w:pStyle w:val="0"/>
        <w:spacing w:before="240" w:lineRule="auto"/>
        <w:ind w:firstLine="540"/>
        <w:jc w:val="both"/>
      </w:pPr>
      <w:r>
        <w:rPr>
          <w:sz w:val="24"/>
        </w:rPr>
        <w:t xml:space="preserve">2) затраты на приобретение материальных запасов, потребляемых в процессе оказания медицинской помощи;</w:t>
      </w:r>
    </w:p>
    <w:p>
      <w:pPr>
        <w:pStyle w:val="0"/>
        <w:spacing w:before="240" w:lineRule="auto"/>
        <w:ind w:firstLine="540"/>
        <w:jc w:val="both"/>
      </w:pPr>
      <w:r>
        <w:rPr>
          <w:sz w:val="24"/>
        </w:rPr>
        <w:t xml:space="preserve">3) затраты на амортизацию основных средств (оборудование, производственный и хозяйственный инвентарь), используемых при оказании медицинской помощи;</w:t>
      </w:r>
    </w:p>
    <w:p>
      <w:pPr>
        <w:pStyle w:val="0"/>
        <w:spacing w:before="240" w:lineRule="auto"/>
        <w:ind w:firstLine="540"/>
        <w:jc w:val="both"/>
      </w:pPr>
      <w:r>
        <w:rPr>
          <w:sz w:val="24"/>
        </w:rPr>
        <w:t xml:space="preserve">4) иные затраты, непосредственно связанные с оказанием медицинской помощи.</w:t>
      </w:r>
    </w:p>
    <w:p>
      <w:pPr>
        <w:pStyle w:val="0"/>
        <w:spacing w:before="240" w:lineRule="auto"/>
        <w:ind w:firstLine="540"/>
        <w:jc w:val="both"/>
      </w:pPr>
      <w:r>
        <w:rPr>
          <w:sz w:val="24"/>
        </w:rPr>
        <w:t xml:space="preserve">Группы затрат могут быть дополнительно детализированы.</w:t>
      </w:r>
    </w:p>
    <w:p>
      <w:pPr>
        <w:pStyle w:val="0"/>
        <w:spacing w:before="240" w:lineRule="auto"/>
        <w:ind w:firstLine="540"/>
        <w:jc w:val="both"/>
      </w:pPr>
      <w:r>
        <w:rPr>
          <w:sz w:val="24"/>
        </w:rPr>
        <w:t xml:space="preserve">276. К затратам, необходимым для обеспечения деятельности медицинской организации в целом, но не потребляемым непосредственно в процессе оказания медицинской помощи, относятся затраты, которые невозможно отнести напрямую к затратам, непосредственно связанным с оказанием медицинской помощи.</w:t>
      </w:r>
    </w:p>
    <w:p>
      <w:pPr>
        <w:pStyle w:val="0"/>
        <w:spacing w:before="240" w:lineRule="auto"/>
        <w:ind w:firstLine="540"/>
        <w:jc w:val="both"/>
      </w:pPr>
      <w:r>
        <w:rPr>
          <w:sz w:val="24"/>
        </w:rPr>
        <w:t xml:space="preserve">277. В составе затрат, необходимых для обеспечения деятельности медицинской организации в целом, выделяются следующие группы затрат:</w:t>
      </w:r>
    </w:p>
    <w:p>
      <w:pPr>
        <w:pStyle w:val="0"/>
        <w:spacing w:before="240" w:lineRule="auto"/>
        <w:ind w:firstLine="540"/>
        <w:jc w:val="both"/>
      </w:pPr>
      <w:r>
        <w:rPr>
          <w:sz w:val="24"/>
        </w:rPr>
        <w:t xml:space="preserve">1) затраты на коммунальные услуги;</w:t>
      </w:r>
    </w:p>
    <w:p>
      <w:pPr>
        <w:pStyle w:val="0"/>
        <w:spacing w:before="240" w:lineRule="auto"/>
        <w:ind w:firstLine="540"/>
        <w:jc w:val="both"/>
      </w:pPr>
      <w:r>
        <w:rPr>
          <w:sz w:val="24"/>
        </w:rPr>
        <w:t xml:space="preserve">2) затраты на содержание объектов недвижимого имущества, закрепленного за медицинской организацией на праве оперативного управления или приобретенным медицинской организацией за счет средств, выделенных ей учредителем на приобретение такого имущества, а также недвижимого имущества, находящегося у медицинской организации в собственности, на основании договора аренды или безвозмездного пользования, эксплуатируемого в процессе оказания медицинской помощи (далее - затраты на содержание объектов недвижимого имущества);</w:t>
      </w:r>
    </w:p>
    <w:p>
      <w:pPr>
        <w:pStyle w:val="0"/>
        <w:spacing w:before="240" w:lineRule="auto"/>
        <w:ind w:firstLine="540"/>
        <w:jc w:val="both"/>
      </w:pPr>
      <w:r>
        <w:rPr>
          <w:sz w:val="24"/>
        </w:rPr>
        <w:t xml:space="preserve">3) затраты на содержание объектов движимого имущества, стоящих на учете основных средств, и нематериальных активов (программных комплексов и информационных систем) (далее - затраты на содержание объектов движимого имущества);</w:t>
      </w:r>
    </w:p>
    <w:p>
      <w:pPr>
        <w:pStyle w:val="0"/>
        <w:spacing w:before="240" w:lineRule="auto"/>
        <w:ind w:firstLine="540"/>
        <w:jc w:val="both"/>
      </w:pPr>
      <w:r>
        <w:rPr>
          <w:sz w:val="24"/>
        </w:rPr>
        <w:t xml:space="preserve">4) затраты на приобретение услуг связи;</w:t>
      </w:r>
    </w:p>
    <w:p>
      <w:pPr>
        <w:pStyle w:val="0"/>
        <w:spacing w:before="240" w:lineRule="auto"/>
        <w:ind w:firstLine="540"/>
        <w:jc w:val="both"/>
      </w:pPr>
      <w:r>
        <w:rPr>
          <w:sz w:val="24"/>
        </w:rPr>
        <w:t xml:space="preserve">5) затраты на приобретение транспортных услуг;</w:t>
      </w:r>
    </w:p>
    <w:p>
      <w:pPr>
        <w:pStyle w:val="0"/>
        <w:spacing w:before="240" w:lineRule="auto"/>
        <w:ind w:firstLine="540"/>
        <w:jc w:val="both"/>
      </w:pPr>
      <w:r>
        <w:rPr>
          <w:sz w:val="24"/>
        </w:rPr>
        <w:t xml:space="preserve">6) затраты на оплату труда и начисления на выплаты по оплате труда работников медицинских организаций, которые не принимают непосредственного участия в оказании медицинской помощи (административно-управленческого, административно-хозяйственного, вспомогательного и иного персонала, не принимающего непосредственное участие в оказании медицинской помощи);</w:t>
      </w:r>
    </w:p>
    <w:p>
      <w:pPr>
        <w:pStyle w:val="0"/>
        <w:spacing w:before="240" w:lineRule="auto"/>
        <w:ind w:firstLine="540"/>
        <w:jc w:val="both"/>
      </w:pPr>
      <w:r>
        <w:rPr>
          <w:sz w:val="24"/>
        </w:rPr>
        <w:t xml:space="preserve">7) затраты на амортизацию основных средств (оборудования, производственного и хозяйственного инвентаря), оборудования, непосредственно не используемого при оказании медицинской помощи;</w:t>
      </w:r>
    </w:p>
    <w:p>
      <w:pPr>
        <w:pStyle w:val="0"/>
        <w:spacing w:before="240" w:lineRule="auto"/>
        <w:ind w:firstLine="540"/>
        <w:jc w:val="both"/>
      </w:pPr>
      <w:r>
        <w:rPr>
          <w:sz w:val="24"/>
        </w:rPr>
        <w:t xml:space="preserve">8) прочие затраты на общехозяйственные нужды.</w:t>
      </w:r>
    </w:p>
    <w:p>
      <w:pPr>
        <w:pStyle w:val="0"/>
        <w:spacing w:before="240" w:lineRule="auto"/>
        <w:ind w:firstLine="540"/>
        <w:jc w:val="both"/>
      </w:pPr>
      <w:r>
        <w:rPr>
          <w:sz w:val="24"/>
        </w:rPr>
        <w:t xml:space="preserve">Группы затрат могут быть дополнительно детализированы.</w:t>
      </w:r>
    </w:p>
    <w:p>
      <w:pPr>
        <w:pStyle w:val="0"/>
        <w:spacing w:before="240" w:lineRule="auto"/>
        <w:ind w:firstLine="540"/>
        <w:jc w:val="both"/>
      </w:pPr>
      <w:r>
        <w:rPr>
          <w:sz w:val="24"/>
        </w:rPr>
        <w:t xml:space="preserve">278. Затраты на оплату труда и начисления на выплаты по оплате труда определяются исходя из потребности в количестве персонала, принимающего непосредственное участие в оказании медицинской помощи, в соответствии с действующей системой оплаты труда, включая денежные выплаты стимулирующего характера, в том числе денежные выплаты врачам-терапевтам участковым, врачам-педиатрам участковым, врачам общей практики (семейным врачам), медицинским сестрам участковым врачей-терапевтов участковых, врачей-педиатров участковых и медицинским сестрам врачей общей практики (семейных врачей) за оказанную медицинскую помощь в амбулаторных условиях; медицинским работникам фельдшерско-акушерских пунктов (заведующим фельдшерско-акушерскими пунктами, фельдшерам, акушерам (акушеркам), медицинским сестрам, в том числе медицинским сестрам патронажным) за оказанную медицинскую помощь в амбулаторных условиях; врачам, фельдшерам и медицинским сестрам медицинских организаций и подразделений скорой медицинской помощи за оказанную скорую медицинскую помощь вне медицинской организации; врачам-специалистам за оказанную медицинскую помощь в амбулаторных условиях, а также достижения целевых показателей уровня заработной платы медицинских работников, установленных "дорожными картами" развития здравоохранения в субъекте Российской Федерации &lt;22&gt;.</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&lt;22&gt; </w:t>
      </w:r>
      <w:hyperlink w:history="0" r:id="rId232" w:tooltip="Указ Президента РФ от 07.05.2012 N 597 &quot;О мероприятиях по реализации государственной социальной политики&quot; {КонсультантПлюс}">
        <w:r>
          <w:rPr>
            <w:sz w:val="24"/>
            <w:color w:val="0000ff"/>
          </w:rPr>
          <w:t xml:space="preserve">Указ</w:t>
        </w:r>
      </w:hyperlink>
      <w:r>
        <w:rPr>
          <w:sz w:val="24"/>
        </w:rPr>
        <w:t xml:space="preserve"> Президента Российской Федерации от 7 мая 2012 г. N 597 "О мероприятиях по реализации государственной социальной политики".</w:t>
      </w:r>
    </w:p>
    <w:p>
      <w:pPr>
        <w:pStyle w:val="0"/>
        <w:jc w:val="both"/>
      </w:pPr>
      <w:r>
        <w:rPr>
          <w:sz w:val="24"/>
        </w:rPr>
      </w:r>
    </w:p>
    <w:p>
      <w:pPr>
        <w:pStyle w:val="0"/>
        <w:ind w:firstLine="540"/>
        <w:jc w:val="both"/>
      </w:pPr>
      <w:r>
        <w:rPr>
          <w:sz w:val="24"/>
        </w:rPr>
        <w:t xml:space="preserve">279. Затраты на материальные запасы определяются исходя из нормативных объемов потребления материальных запасов или фактических объемов потребления материальных запасов за прошлые годы в натуральном или стоимостном выражении и включают в себя затраты на приобретение материальных запасов, непосредственно используемых для оказания медицинской помощи.</w:t>
      </w:r>
    </w:p>
    <w:p>
      <w:pPr>
        <w:pStyle w:val="0"/>
        <w:spacing w:before="240" w:lineRule="auto"/>
        <w:ind w:firstLine="540"/>
        <w:jc w:val="both"/>
      </w:pPr>
      <w:r>
        <w:rPr>
          <w:sz w:val="24"/>
        </w:rPr>
        <w:t xml:space="preserve">280. Затраты на амортизацию основных средств (оборудование, производственный и хозяйственный инвентарь), используемых при оказании медицинской помощи, определяются исходя из балансовой стоимости оборудования, годовой нормы его износа и времени работы оборудования в процессе оказания медицинской помощи. Затраты на амортизацию основных средств (оборудование, производственный и хозяйственный инвентарь) стоимостью свыше четырехсот тысяч рублей за единицу определяются в случае, если указанные расходы включены в территориальную программу.</w:t>
      </w:r>
    </w:p>
    <w:p>
      <w:pPr>
        <w:pStyle w:val="0"/>
        <w:spacing w:before="240" w:lineRule="auto"/>
        <w:ind w:firstLine="540"/>
        <w:jc w:val="both"/>
      </w:pPr>
      <w:r>
        <w:rPr>
          <w:sz w:val="24"/>
        </w:rPr>
        <w:t xml:space="preserve">281. Затраты на коммунальные услуги определяются обособленно по видам энергетических ресурсов, исходя из нормативов потребления коммунальных услуг с учетом требований обеспечения энергоэффективности и энергосбережения или исходя из фактических объемов потребления коммунальных услуг за прошлые годы с учетом изменений в составе используемого при оказании медицинской помощи движимого и недвижимого имущества:</w:t>
      </w:r>
    </w:p>
    <w:p>
      <w:pPr>
        <w:pStyle w:val="0"/>
        <w:spacing w:before="240" w:lineRule="auto"/>
        <w:ind w:firstLine="540"/>
        <w:jc w:val="both"/>
      </w:pPr>
      <w:r>
        <w:rPr>
          <w:sz w:val="24"/>
        </w:rPr>
        <w:t xml:space="preserve">1) затраты на холодное водоснабжение и водоотведение, в том числе плату за негативное воздействие на работу централизованной системы водоотведения, плату за нарушение нормативов по объему сточных вод и нормативов водоотведения по составу сточных вод;</w:t>
      </w:r>
    </w:p>
    <w:p>
      <w:pPr>
        <w:pStyle w:val="0"/>
        <w:spacing w:before="240" w:lineRule="auto"/>
        <w:ind w:firstLine="540"/>
        <w:jc w:val="both"/>
      </w:pPr>
      <w:r>
        <w:rPr>
          <w:sz w:val="24"/>
        </w:rPr>
        <w:t xml:space="preserve">2) затраты на горячее водоснабжение;</w:t>
      </w:r>
    </w:p>
    <w:p>
      <w:pPr>
        <w:pStyle w:val="0"/>
        <w:spacing w:before="240" w:lineRule="auto"/>
        <w:ind w:firstLine="540"/>
        <w:jc w:val="both"/>
      </w:pPr>
      <w:r>
        <w:rPr>
          <w:sz w:val="24"/>
        </w:rPr>
        <w:t xml:space="preserve">3) затраты на теплоснабжение;</w:t>
      </w:r>
    </w:p>
    <w:p>
      <w:pPr>
        <w:pStyle w:val="0"/>
        <w:spacing w:before="240" w:lineRule="auto"/>
        <w:ind w:firstLine="540"/>
        <w:jc w:val="both"/>
      </w:pPr>
      <w:r>
        <w:rPr>
          <w:sz w:val="24"/>
        </w:rPr>
        <w:t xml:space="preserve">4) затраты на электроснабжение.</w:t>
      </w:r>
    </w:p>
    <w:p>
      <w:pPr>
        <w:pStyle w:val="0"/>
        <w:spacing w:before="240" w:lineRule="auto"/>
        <w:ind w:firstLine="540"/>
        <w:jc w:val="both"/>
      </w:pPr>
      <w:r>
        <w:rPr>
          <w:sz w:val="24"/>
        </w:rPr>
        <w:t xml:space="preserve">282. В случае заключения энергосервисного договора (контракта) дополнительно к указанным нормативным затратам определяются нормативные затраты на оплату исполнения энергосервисного договора (контракта), на величину которых снижаются нормативные затраты по видам энергетических ресурсов.</w:t>
      </w:r>
    </w:p>
    <w:p>
      <w:pPr>
        <w:pStyle w:val="0"/>
        <w:spacing w:before="240" w:lineRule="auto"/>
        <w:ind w:firstLine="540"/>
        <w:jc w:val="both"/>
      </w:pPr>
      <w:r>
        <w:rPr>
          <w:sz w:val="24"/>
        </w:rPr>
        <w:t xml:space="preserve">283. Для определения затрат на коммунальные услуги рекомендуется учитывать нормативы потребления коммунальных услуг на единицу объема медицинской помощи для группы медицинских организаций, находящихся в однотипных зданиях и оказывающих одинаковый набор услуг.</w:t>
      </w:r>
    </w:p>
    <w:p>
      <w:pPr>
        <w:pStyle w:val="0"/>
        <w:spacing w:before="240" w:lineRule="auto"/>
        <w:ind w:firstLine="540"/>
        <w:jc w:val="both"/>
      </w:pPr>
      <w:r>
        <w:rPr>
          <w:sz w:val="24"/>
        </w:rPr>
        <w:t xml:space="preserve">284. Затраты на холодное водоснабжение и водоотведение определяются исходя из объемов потребления и тарифов на холодное водоснабжение и водоотведение по следующей формуле:</w:t>
      </w:r>
    </w:p>
    <w:p>
      <w:pPr>
        <w:pStyle w:val="0"/>
        <w:jc w:val="both"/>
      </w:pPr>
      <w:r>
        <w:rPr>
          <w:sz w:val="24"/>
        </w:rPr>
      </w:r>
    </w:p>
    <w:p>
      <w:pPr>
        <w:pStyle w:val="0"/>
        <w:jc w:val="center"/>
      </w:pPr>
      <w:r>
        <w:rPr>
          <w:sz w:val="24"/>
        </w:rPr>
        <w:t xml:space="preserve">N</w:t>
      </w:r>
      <w:r>
        <w:rPr>
          <w:sz w:val="24"/>
          <w:vertAlign w:val="subscript"/>
        </w:rPr>
        <w:t xml:space="preserve">ХВ,вод</w:t>
      </w:r>
      <w:r>
        <w:rPr>
          <w:sz w:val="24"/>
        </w:rPr>
        <w:t xml:space="preserve"> = Т</w:t>
      </w:r>
      <w:r>
        <w:rPr>
          <w:sz w:val="24"/>
          <w:vertAlign w:val="subscript"/>
        </w:rPr>
        <w:t xml:space="preserve">ХВ</w:t>
      </w:r>
      <w:r>
        <w:rPr>
          <w:sz w:val="24"/>
        </w:rPr>
        <w:t xml:space="preserve"> x V</w:t>
      </w:r>
      <w:r>
        <w:rPr>
          <w:sz w:val="24"/>
          <w:vertAlign w:val="subscript"/>
        </w:rPr>
        <w:t xml:space="preserve">ХВ</w:t>
      </w:r>
      <w:r>
        <w:rPr>
          <w:sz w:val="24"/>
        </w:rPr>
        <w:t xml:space="preserve"> + Т</w:t>
      </w:r>
      <w:r>
        <w:rPr>
          <w:sz w:val="24"/>
          <w:vertAlign w:val="subscript"/>
        </w:rPr>
        <w:t xml:space="preserve">вод</w:t>
      </w:r>
      <w:r>
        <w:rPr>
          <w:sz w:val="24"/>
        </w:rPr>
        <w:t xml:space="preserve"> x V</w:t>
      </w:r>
      <w:r>
        <w:rPr>
          <w:sz w:val="24"/>
          <w:vertAlign w:val="subscript"/>
        </w:rPr>
        <w:t xml:space="preserve">вод</w:t>
      </w:r>
      <w:r>
        <w:rPr>
          <w:sz w:val="24"/>
        </w:rPr>
        <w:t xml:space="preserve">,</w:t>
      </w:r>
    </w:p>
    <w:p>
      <w:pPr>
        <w:pStyle w:val="0"/>
        <w:jc w:val="both"/>
      </w:pPr>
      <w:r>
        <w:rPr>
          <w:sz w:val="24"/>
        </w:rPr>
      </w:r>
    </w:p>
    <w:p>
      <w:pPr>
        <w:pStyle w:val="0"/>
        <w:ind w:firstLine="540"/>
        <w:jc w:val="both"/>
      </w:pPr>
      <w:r>
        <w:rPr>
          <w:sz w:val="24"/>
        </w:rPr>
        <w:t xml:space="preserve">где:</w:t>
      </w:r>
    </w:p>
    <w:p>
      <w:pPr>
        <w:pStyle w:val="0"/>
        <w:spacing w:before="240" w:lineRule="auto"/>
        <w:ind w:firstLine="540"/>
        <w:jc w:val="both"/>
      </w:pPr>
      <w:r>
        <w:rPr>
          <w:sz w:val="24"/>
        </w:rPr>
        <w:t xml:space="preserve">N</w:t>
      </w:r>
      <w:r>
        <w:rPr>
          <w:sz w:val="24"/>
          <w:vertAlign w:val="subscript"/>
        </w:rPr>
        <w:t xml:space="preserve">ХВ,вод</w:t>
      </w:r>
      <w:r>
        <w:rPr>
          <w:sz w:val="24"/>
        </w:rPr>
        <w:t xml:space="preserve"> - затраты на холодное водоснабжение и водоотведение;</w:t>
      </w:r>
    </w:p>
    <w:p>
      <w:pPr>
        <w:pStyle w:val="0"/>
        <w:spacing w:before="240" w:lineRule="auto"/>
        <w:ind w:firstLine="540"/>
        <w:jc w:val="both"/>
      </w:pPr>
      <w:r>
        <w:rPr>
          <w:sz w:val="24"/>
        </w:rPr>
        <w:t xml:space="preserve">Т</w:t>
      </w:r>
      <w:r>
        <w:rPr>
          <w:sz w:val="24"/>
          <w:vertAlign w:val="subscript"/>
        </w:rPr>
        <w:t xml:space="preserve">ХВ</w:t>
      </w:r>
      <w:r>
        <w:rPr>
          <w:sz w:val="24"/>
        </w:rPr>
        <w:t xml:space="preserve"> - тариф на холодное водоснабжение, установленный на соответствующий финансовый год;</w:t>
      </w:r>
    </w:p>
    <w:p>
      <w:pPr>
        <w:pStyle w:val="0"/>
        <w:spacing w:before="240" w:lineRule="auto"/>
        <w:ind w:firstLine="540"/>
        <w:jc w:val="both"/>
      </w:pPr>
      <w:r>
        <w:rPr>
          <w:sz w:val="24"/>
        </w:rPr>
        <w:t xml:space="preserve">V</w:t>
      </w:r>
      <w:r>
        <w:rPr>
          <w:sz w:val="24"/>
          <w:vertAlign w:val="subscript"/>
        </w:rPr>
        <w:t xml:space="preserve">ХВ</w:t>
      </w:r>
      <w:r>
        <w:rPr>
          <w:sz w:val="24"/>
        </w:rPr>
        <w:t xml:space="preserve"> - объем потребления холодной воды (в куб. м) в отчетном финансовом году;</w:t>
      </w:r>
    </w:p>
    <w:p>
      <w:pPr>
        <w:pStyle w:val="0"/>
        <w:spacing w:before="240" w:lineRule="auto"/>
        <w:ind w:firstLine="540"/>
        <w:jc w:val="both"/>
      </w:pPr>
      <w:r>
        <w:rPr>
          <w:sz w:val="24"/>
        </w:rPr>
        <w:t xml:space="preserve">Т</w:t>
      </w:r>
      <w:r>
        <w:rPr>
          <w:sz w:val="24"/>
          <w:vertAlign w:val="subscript"/>
        </w:rPr>
        <w:t xml:space="preserve">вод</w:t>
      </w:r>
      <w:r>
        <w:rPr>
          <w:sz w:val="24"/>
        </w:rPr>
        <w:t xml:space="preserve"> - тариф на водоотведение, установленный на соответствующий финансовый год;</w:t>
      </w:r>
    </w:p>
    <w:p>
      <w:pPr>
        <w:pStyle w:val="0"/>
        <w:spacing w:before="240" w:lineRule="auto"/>
        <w:ind w:firstLine="540"/>
        <w:jc w:val="both"/>
      </w:pPr>
      <w:r>
        <w:rPr>
          <w:sz w:val="24"/>
        </w:rPr>
        <w:t xml:space="preserve">V</w:t>
      </w:r>
      <w:r>
        <w:rPr>
          <w:sz w:val="24"/>
          <w:vertAlign w:val="subscript"/>
        </w:rPr>
        <w:t xml:space="preserve">вод</w:t>
      </w:r>
      <w:r>
        <w:rPr>
          <w:sz w:val="24"/>
        </w:rPr>
        <w:t xml:space="preserve"> - объем водоотведения в соответствующем финансовом году.</w:t>
      </w:r>
    </w:p>
    <w:p>
      <w:pPr>
        <w:pStyle w:val="0"/>
        <w:spacing w:before="240" w:lineRule="auto"/>
        <w:ind w:firstLine="540"/>
        <w:jc w:val="both"/>
      </w:pPr>
      <w:r>
        <w:rPr>
          <w:sz w:val="24"/>
        </w:rPr>
        <w:t xml:space="preserve">285. Затраты на горячее водоснабжение (1), потребление тепловой энергии (2), электрической энергии (3), газа (4) определяются исходя из соответствующих тарифов и общих объемов их потребления в натуральном выражении соответственно по следующей формуле:</w:t>
      </w:r>
    </w:p>
    <w:p>
      <w:pPr>
        <w:pStyle w:val="0"/>
        <w:jc w:val="both"/>
      </w:pPr>
      <w:r>
        <w:rPr>
          <w:sz w:val="24"/>
        </w:rPr>
      </w:r>
    </w:p>
    <w:p>
      <w:pPr>
        <w:pStyle w:val="0"/>
        <w:jc w:val="center"/>
      </w:pPr>
      <w:r>
        <w:rPr>
          <w:position w:val="-14"/>
        </w:rPr>
        <w:drawing>
          <wp:inline distT="0" distB="0" distL="0" distR="0">
            <wp:extent cx="1771650" cy="33147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33">
                      <a:extLst>
                        <a:ext uri="{28A0092B-C50C-407E-A947-70E740481C1C}">
                          <a14:useLocalDpi xmlns:a14="http://schemas.microsoft.com/office/drawing/2010/main" val="0"/>
                        </a:ext>
                      </a:extLst>
                    </a:blip>
                    <a:srcRect/>
                    <a:stretch>
                      <a:fillRect/>
                    </a:stretch>
                  </pic:blipFill>
                  <pic:spPr bwMode="auto">
                    <a:xfrm>
                      <a:off x="0" y="0"/>
                      <a:ext cx="1771650" cy="331470"/>
                    </a:xfrm>
                    <a:prstGeom prst="rect">
                      <a:avLst/>
                    </a:prstGeom>
                    <a:noFill/>
                    <a:ln>
                      <a:noFill/>
                    </a:ln>
                  </pic:spPr>
                </pic:pic>
              </a:graphicData>
            </a:graphic>
          </wp:inline>
        </w:drawing>
      </w:r>
    </w:p>
    <w:p>
      <w:pPr>
        <w:pStyle w:val="0"/>
        <w:jc w:val="both"/>
      </w:pPr>
      <w:r>
        <w:rPr>
          <w:sz w:val="24"/>
        </w:rPr>
      </w:r>
    </w:p>
    <w:p>
      <w:pPr>
        <w:pStyle w:val="0"/>
        <w:ind w:firstLine="540"/>
        <w:jc w:val="both"/>
      </w:pPr>
      <w:r>
        <w:rPr>
          <w:sz w:val="24"/>
        </w:rPr>
        <w:t xml:space="preserve">где:</w:t>
      </w:r>
    </w:p>
    <w:p>
      <w:pPr>
        <w:pStyle w:val="0"/>
        <w:spacing w:before="240" w:lineRule="auto"/>
        <w:ind w:firstLine="540"/>
        <w:jc w:val="both"/>
      </w:pPr>
      <w:r>
        <w:rPr>
          <w:sz w:val="24"/>
        </w:rPr>
        <w:t xml:space="preserve">N</w:t>
      </w:r>
      <w:r>
        <w:rPr>
          <w:sz w:val="24"/>
          <w:vertAlign w:val="subscript"/>
        </w:rPr>
        <w:t xml:space="preserve">i</w:t>
      </w:r>
      <w:r>
        <w:rPr>
          <w:sz w:val="24"/>
        </w:rPr>
        <w:t xml:space="preserve"> - затраты на горячее водоснабжение (1), потребление тепловой энергии (2), электрической энергии (3), газа (4);</w:t>
      </w:r>
    </w:p>
    <w:p>
      <w:pPr>
        <w:pStyle w:val="0"/>
        <w:spacing w:before="240" w:lineRule="auto"/>
        <w:ind w:firstLine="540"/>
        <w:jc w:val="both"/>
      </w:pPr>
      <w:r>
        <w:rPr>
          <w:sz w:val="24"/>
        </w:rPr>
        <w:t xml:space="preserve">Т</w:t>
      </w:r>
      <w:r>
        <w:rPr>
          <w:sz w:val="24"/>
          <w:vertAlign w:val="subscript"/>
        </w:rPr>
        <w:t xml:space="preserve">i</w:t>
      </w:r>
      <w:r>
        <w:rPr>
          <w:sz w:val="24"/>
        </w:rPr>
        <w:t xml:space="preserve"> - тариф на горячее водоснабжение (1), потребление тепловой энергии (2), электрической энергии (3), газа (4), установленный на соответствующий финансовый год;</w:t>
      </w:r>
    </w:p>
    <w:p>
      <w:pPr>
        <w:pStyle w:val="0"/>
        <w:spacing w:before="240" w:lineRule="auto"/>
        <w:ind w:firstLine="540"/>
        <w:jc w:val="both"/>
      </w:pPr>
      <w:r>
        <w:rPr>
          <w:sz w:val="24"/>
        </w:rPr>
        <w:t xml:space="preserve">V</w:t>
      </w:r>
      <w:r>
        <w:rPr>
          <w:sz w:val="24"/>
          <w:vertAlign w:val="subscript"/>
        </w:rPr>
        <w:t xml:space="preserve">i</w:t>
      </w:r>
      <w:r>
        <w:rPr>
          <w:sz w:val="24"/>
        </w:rPr>
        <w:t xml:space="preserve"> - объем потребления горячей воды (в куб. м) (1), тепловой энергии (в Гкал) (2), электрической энергии (кВт.ч) (3), потребление газа (4) в соответствующем финансовом году.</w:t>
      </w:r>
    </w:p>
    <w:p>
      <w:pPr>
        <w:pStyle w:val="0"/>
        <w:spacing w:before="240" w:lineRule="auto"/>
        <w:ind w:firstLine="540"/>
        <w:jc w:val="both"/>
      </w:pPr>
      <w:r>
        <w:rPr>
          <w:sz w:val="24"/>
        </w:rPr>
        <w:t xml:space="preserve">286. Затраты на оплату исполнения энергосервисного договора (контракта) определяются как процент от достигнутого размера экономии соответствующих расходов медицинской организации, определенный условиями энергосервисного договора (контракта).</w:t>
      </w:r>
    </w:p>
    <w:p>
      <w:pPr>
        <w:pStyle w:val="0"/>
        <w:spacing w:before="240" w:lineRule="auto"/>
        <w:ind w:firstLine="540"/>
        <w:jc w:val="both"/>
      </w:pPr>
      <w:r>
        <w:rPr>
          <w:sz w:val="24"/>
        </w:rPr>
        <w:t xml:space="preserve">287. Затраты на содержание объектов недвижимого имущества могут быть детализированы по следующим группам затрат:</w:t>
      </w:r>
    </w:p>
    <w:p>
      <w:pPr>
        <w:pStyle w:val="0"/>
        <w:spacing w:before="240" w:lineRule="auto"/>
        <w:ind w:firstLine="540"/>
        <w:jc w:val="both"/>
      </w:pPr>
      <w:r>
        <w:rPr>
          <w:sz w:val="24"/>
        </w:rPr>
        <w:t xml:space="preserve">1) затраты на эксплуатацию системы охранной сигнализации и противопожарной безопасности;</w:t>
      </w:r>
    </w:p>
    <w:p>
      <w:pPr>
        <w:pStyle w:val="0"/>
        <w:spacing w:before="240" w:lineRule="auto"/>
        <w:ind w:firstLine="540"/>
        <w:jc w:val="both"/>
      </w:pPr>
      <w:r>
        <w:rPr>
          <w:sz w:val="24"/>
        </w:rPr>
        <w:t xml:space="preserve">2) затраты на аренду недвижимого имущества;</w:t>
      </w:r>
    </w:p>
    <w:p>
      <w:pPr>
        <w:pStyle w:val="0"/>
        <w:spacing w:before="240" w:lineRule="auto"/>
        <w:ind w:firstLine="540"/>
        <w:jc w:val="both"/>
      </w:pPr>
      <w:r>
        <w:rPr>
          <w:sz w:val="24"/>
        </w:rPr>
        <w:t xml:space="preserve">3) затраты на уплату налогов, в качестве объекта налогообложения по которым признается недвижимое имущество, закрепленное за медицинской организацией или приобретенное медицинской организацией за счет средств, выделенных ему учредителем на приобретение такого имущества, в том числе земельные участки;</w:t>
      </w:r>
    </w:p>
    <w:p>
      <w:pPr>
        <w:pStyle w:val="0"/>
        <w:spacing w:before="240" w:lineRule="auto"/>
        <w:ind w:firstLine="540"/>
        <w:jc w:val="both"/>
      </w:pPr>
      <w:r>
        <w:rPr>
          <w:sz w:val="24"/>
        </w:rPr>
        <w:t xml:space="preserve">4) затраты на содержание прилегающих территорий в соответствии с санитарными правилами и нормами;</w:t>
      </w:r>
    </w:p>
    <w:p>
      <w:pPr>
        <w:pStyle w:val="0"/>
        <w:spacing w:before="240" w:lineRule="auto"/>
        <w:ind w:firstLine="540"/>
        <w:jc w:val="both"/>
      </w:pPr>
      <w:r>
        <w:rPr>
          <w:sz w:val="24"/>
        </w:rPr>
        <w:t xml:space="preserve">5) прочие затраты на содержание недвижимого имущества.</w:t>
      </w:r>
    </w:p>
    <w:p>
      <w:pPr>
        <w:pStyle w:val="0"/>
        <w:spacing w:before="240" w:lineRule="auto"/>
        <w:ind w:firstLine="540"/>
        <w:jc w:val="both"/>
      </w:pPr>
      <w:r>
        <w:rPr>
          <w:sz w:val="24"/>
        </w:rPr>
        <w:t xml:space="preserve">288. Затраты на содержание объектов движимого имущества могут быть детализированы по следующим группам затрат:</w:t>
      </w:r>
    </w:p>
    <w:p>
      <w:pPr>
        <w:pStyle w:val="0"/>
        <w:spacing w:before="240" w:lineRule="auto"/>
        <w:ind w:firstLine="540"/>
        <w:jc w:val="both"/>
      </w:pPr>
      <w:r>
        <w:rPr>
          <w:sz w:val="24"/>
        </w:rPr>
        <w:t xml:space="preserve">1) затраты на техническое обслуживание и текущий ремонт движимого имущества;</w:t>
      </w:r>
    </w:p>
    <w:p>
      <w:pPr>
        <w:pStyle w:val="0"/>
        <w:spacing w:before="240" w:lineRule="auto"/>
        <w:ind w:firstLine="540"/>
        <w:jc w:val="both"/>
      </w:pPr>
      <w:r>
        <w:rPr>
          <w:sz w:val="24"/>
        </w:rPr>
        <w:t xml:space="preserve">2) затраты на материальные запасы, потребляемые в рамках содержания движимого имущества, не отнесенные к затратам, непосредственно связанным с оказанием медицинской помощи;</w:t>
      </w:r>
    </w:p>
    <w:p>
      <w:pPr>
        <w:pStyle w:val="0"/>
        <w:spacing w:before="240" w:lineRule="auto"/>
        <w:ind w:firstLine="540"/>
        <w:jc w:val="both"/>
      </w:pPr>
      <w:r>
        <w:rPr>
          <w:sz w:val="24"/>
        </w:rPr>
        <w:t xml:space="preserve">3) затраты на уплату налогов, в качестве объекта налогообложения движимого имущества, закрепленного за медицинской организацией или приобретенного медицинской организацией за счет средств, выделенных ей учредителем на приобретение такого имущества;</w:t>
      </w:r>
    </w:p>
    <w:p>
      <w:pPr>
        <w:pStyle w:val="0"/>
        <w:spacing w:before="240" w:lineRule="auto"/>
        <w:ind w:firstLine="540"/>
        <w:jc w:val="both"/>
      </w:pPr>
      <w:r>
        <w:rPr>
          <w:sz w:val="24"/>
        </w:rPr>
        <w:t xml:space="preserve">4) затраты на обязательное страхование гражданской ответственности владельцев транспортных средств;</w:t>
      </w:r>
    </w:p>
    <w:p>
      <w:pPr>
        <w:pStyle w:val="0"/>
        <w:spacing w:before="240" w:lineRule="auto"/>
        <w:ind w:firstLine="540"/>
        <w:jc w:val="both"/>
      </w:pPr>
      <w:r>
        <w:rPr>
          <w:sz w:val="24"/>
        </w:rPr>
        <w:t xml:space="preserve">5) прочие затраты на содержание движимого имущества;</w:t>
      </w:r>
    </w:p>
    <w:p>
      <w:pPr>
        <w:pStyle w:val="0"/>
        <w:spacing w:before="240" w:lineRule="auto"/>
        <w:ind w:firstLine="540"/>
        <w:jc w:val="both"/>
      </w:pPr>
      <w:r>
        <w:rPr>
          <w:sz w:val="24"/>
        </w:rPr>
        <w:t xml:space="preserve">6) затраты на арендную плату, в том числе на финансовую аренду объектов (лизинг), а также выкуп предмета лизинга в соответствии со </w:t>
      </w:r>
      <w:hyperlink w:history="0" r:id="rId234" w:tooltip="&quot;Гражданский кодекс Российской Федерации (часть вторая)&quot; от 26.01.1996 N 14-ФЗ (ред. от 24.06.2025, с изм. от 09.06.2026) {КонсультантПлюс}">
        <w:r>
          <w:rPr>
            <w:sz w:val="24"/>
            <w:color w:val="0000ff"/>
          </w:rPr>
          <w:t xml:space="preserve">статьей 624</w:t>
        </w:r>
      </w:hyperlink>
      <w:r>
        <w:rPr>
          <w:sz w:val="24"/>
        </w:rPr>
        <w:t xml:space="preserve"> Гражданского кодекса Российской Федерации, при отсутствии у медицинской организации в течение трех месяцев просроченной кредиторской задолженности за счет средств обязательного медицинского страхования с ограничением платежей в год за один объект аренды основных средств в соответствии с программой государственных гарантий бесплатного оказания гражданам медицинской помощи в рамках базовой программы обязательного медицинского страхования. В случае наличия у медицинской организации просроченной кредиторской задолженности в течение трех месяцев, то затраты на арендную плату, в том числе на финансовую аренду объектов (лизинг) или приобретение предмета лизинга по действующим договорам, включаются в размере, не превышающем четырехсот тысяч рублей в год за один объект аренды.</w:t>
      </w:r>
    </w:p>
    <w:p>
      <w:pPr>
        <w:pStyle w:val="0"/>
        <w:spacing w:before="240" w:lineRule="auto"/>
        <w:ind w:firstLine="540"/>
        <w:jc w:val="both"/>
      </w:pPr>
      <w:r>
        <w:rPr>
          <w:sz w:val="24"/>
        </w:rPr>
        <w:t xml:space="preserve">289. Затраты на приобретение услуг связи и приобретение транспортных услуг определяются исходя из нормативов потребления или фактических объемов потребления за прошлые годы в натуральном или стоимостном выражении.</w:t>
      </w:r>
    </w:p>
    <w:p>
      <w:pPr>
        <w:pStyle w:val="0"/>
        <w:spacing w:before="240" w:lineRule="auto"/>
        <w:ind w:firstLine="540"/>
        <w:jc w:val="both"/>
      </w:pPr>
      <w:r>
        <w:rPr>
          <w:sz w:val="24"/>
        </w:rPr>
        <w:t xml:space="preserve">290. Затраты на оплату труда и начисления на выплаты по оплате труда работников медицинской организации, которые не принимают непосредственного участия в оказании медицинской помощи (административно-управленческого, административно-хозяйственного, вспомогательного и иного персонала, не принимающего непосредственное участие в оказании государственной услуги), определяются исходя из количества единиц по штатному расписанию, утвержденному руководителем медицинской организации, с учетом действующей системы оплаты труда.</w:t>
      </w:r>
    </w:p>
    <w:p>
      <w:pPr>
        <w:pStyle w:val="0"/>
        <w:spacing w:before="240" w:lineRule="auto"/>
        <w:ind w:firstLine="540"/>
        <w:jc w:val="both"/>
      </w:pPr>
      <w:r>
        <w:rPr>
          <w:sz w:val="24"/>
        </w:rPr>
        <w:t xml:space="preserve">291. Затраты на амортизацию основных средств (оборудование, производственный и хозяйственный инвентарь), непосредственно не используемых при оказании медицинской помощи, определяются исходя из балансовой стоимости оборудования, годовой нормы его износа и времени работы оборудования в процессе оказания медицинской помощи. Затраты на амортизацию основных средств (оборудование, производственный и хозяйственный инвентарь) стоимостью свыше четырехсот тысяч рублей за единицу определяются в случае, если указанные расходы включены в территориальную программу.</w:t>
      </w:r>
    </w:p>
    <w:p>
      <w:pPr>
        <w:pStyle w:val="0"/>
        <w:spacing w:before="240" w:lineRule="auto"/>
        <w:ind w:firstLine="540"/>
        <w:jc w:val="both"/>
      </w:pPr>
      <w:r>
        <w:rPr>
          <w:sz w:val="24"/>
        </w:rPr>
        <w:t xml:space="preserve">292. Распределение затрат, необходимых для деятельности медицинской организации в целом, по отдельным видам медицинской помощи осуществляется одним из следующих способов:</w:t>
      </w:r>
    </w:p>
    <w:p>
      <w:pPr>
        <w:pStyle w:val="0"/>
        <w:spacing w:before="240" w:lineRule="auto"/>
        <w:ind w:firstLine="540"/>
        <w:jc w:val="both"/>
      </w:pPr>
      <w:r>
        <w:rPr>
          <w:sz w:val="24"/>
        </w:rPr>
        <w:t xml:space="preserve">1) пропорционально фонду оплаты труда основного персонала, непосредственно участвующего в оказании медицинской помощи;</w:t>
      </w:r>
    </w:p>
    <w:p>
      <w:pPr>
        <w:pStyle w:val="0"/>
        <w:spacing w:before="240" w:lineRule="auto"/>
        <w:ind w:firstLine="540"/>
        <w:jc w:val="both"/>
      </w:pPr>
      <w:r>
        <w:rPr>
          <w:sz w:val="24"/>
        </w:rPr>
        <w:t xml:space="preserve">2) пропорционально объему оказываемых медицинских услуг в случае, если медицинские услуги, оказываемые медицинской организацией, имеют одинаковую единицу измерения объема услуг, либо могут быть приведены в сопоставимый вид (например, если одно обращение в среднем включает в себя 2,9 посещения, то обращение может быть переведено в посещение путем умножения на 2,9);</w:t>
      </w:r>
    </w:p>
    <w:p>
      <w:pPr>
        <w:pStyle w:val="0"/>
        <w:spacing w:before="240" w:lineRule="auto"/>
        <w:ind w:firstLine="540"/>
        <w:jc w:val="both"/>
      </w:pPr>
      <w:r>
        <w:rPr>
          <w:sz w:val="24"/>
        </w:rPr>
        <w:t xml:space="preserve">3) пропорционально площади, используемой для оказания медицинской помощи (при возможности распределения общего объема площадей медицинской организации между оказываемыми видами медицинской помощи);</w:t>
      </w:r>
    </w:p>
    <w:p>
      <w:pPr>
        <w:pStyle w:val="0"/>
        <w:spacing w:before="240" w:lineRule="auto"/>
        <w:ind w:firstLine="540"/>
        <w:jc w:val="both"/>
      </w:pPr>
      <w:r>
        <w:rPr>
          <w:sz w:val="24"/>
        </w:rPr>
        <w:t xml:space="preserve">4) путем отнесения всего объема затрат, необходимых для деятельности медицинской организации в целом, на один вид медицинской помощи, выделенный (выделенной) в качестве основного (основной) вида медицинской помощи для медицинской организации;</w:t>
      </w:r>
    </w:p>
    <w:p>
      <w:pPr>
        <w:pStyle w:val="0"/>
        <w:spacing w:before="240" w:lineRule="auto"/>
        <w:ind w:firstLine="540"/>
        <w:jc w:val="both"/>
      </w:pPr>
      <w:r>
        <w:rPr>
          <w:sz w:val="24"/>
        </w:rPr>
        <w:t xml:space="preserve">5) пропорционально иному выбранному показателю.</w:t>
      </w:r>
    </w:p>
    <w:p>
      <w:pPr>
        <w:pStyle w:val="0"/>
        <w:spacing w:before="240" w:lineRule="auto"/>
        <w:ind w:firstLine="540"/>
        <w:jc w:val="both"/>
      </w:pPr>
      <w:r>
        <w:rPr>
          <w:sz w:val="24"/>
        </w:rPr>
        <w:t xml:space="preserve">293. Расчет стоимости медицинской помощи производится по таблице.</w:t>
      </w:r>
    </w:p>
    <w:p>
      <w:pPr>
        <w:pStyle w:val="0"/>
        <w:jc w:val="both"/>
      </w:pPr>
      <w:r>
        <w:rPr>
          <w:sz w:val="24"/>
        </w:rPr>
      </w:r>
    </w:p>
    <w:p>
      <w:pPr>
        <w:pStyle w:val="0"/>
        <w:outlineLvl w:val="2"/>
        <w:jc w:val="right"/>
      </w:pPr>
      <w:r>
        <w:rPr>
          <w:sz w:val="24"/>
        </w:rPr>
        <w:t xml:space="preserve">Таблица</w:t>
      </w:r>
    </w:p>
    <w:p>
      <w:pPr>
        <w:pStyle w:val="0"/>
        <w:jc w:val="both"/>
      </w:pPr>
      <w:r>
        <w:rPr>
          <w:sz w:val="24"/>
        </w:rPr>
      </w:r>
    </w:p>
    <w:p>
      <w:pPr>
        <w:pStyle w:val="0"/>
        <w:jc w:val="center"/>
      </w:pPr>
      <w:r>
        <w:rPr>
          <w:sz w:val="24"/>
        </w:rPr>
        <w:t xml:space="preserve">Расчет стоимости медицинской помощи</w:t>
      </w:r>
    </w:p>
    <w:p>
      <w:pPr>
        <w:pStyle w:val="0"/>
        <w:jc w:val="center"/>
      </w:pPr>
      <w:r>
        <w:rPr>
          <w:sz w:val="24"/>
        </w:rPr>
        <w:t xml:space="preserve">______________________________________________</w:t>
      </w:r>
    </w:p>
    <w:p>
      <w:pPr>
        <w:pStyle w:val="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680"/>
        <w:gridCol w:w="7370"/>
        <w:gridCol w:w="1020"/>
      </w:tblGrid>
      <w:tr>
        <w:tc>
          <w:tcPr>
            <w:tcW w:w="680" w:type="dxa"/>
          </w:tcPr>
          <w:p>
            <w:pPr>
              <w:pStyle w:val="0"/>
              <w:jc w:val="center"/>
            </w:pPr>
            <w:r>
              <w:rPr>
                <w:sz w:val="24"/>
              </w:rPr>
              <w:t xml:space="preserve">N п/п</w:t>
            </w:r>
          </w:p>
        </w:tc>
        <w:tc>
          <w:tcPr>
            <w:tcW w:w="7370" w:type="dxa"/>
          </w:tcPr>
          <w:p>
            <w:pPr>
              <w:pStyle w:val="0"/>
              <w:jc w:val="center"/>
            </w:pPr>
            <w:r>
              <w:rPr>
                <w:sz w:val="24"/>
              </w:rPr>
              <w:t xml:space="preserve">Наименование статей затрат</w:t>
            </w:r>
          </w:p>
        </w:tc>
        <w:tc>
          <w:tcPr>
            <w:tcW w:w="1020" w:type="dxa"/>
          </w:tcPr>
          <w:p>
            <w:pPr>
              <w:pStyle w:val="0"/>
              <w:jc w:val="center"/>
            </w:pPr>
            <w:r>
              <w:rPr>
                <w:sz w:val="24"/>
              </w:rPr>
              <w:t xml:space="preserve">Сумма (руб.)</w:t>
            </w:r>
          </w:p>
        </w:tc>
      </w:tr>
      <w:tr>
        <w:tc>
          <w:tcPr>
            <w:tcW w:w="680" w:type="dxa"/>
          </w:tcPr>
          <w:p>
            <w:pPr>
              <w:pStyle w:val="0"/>
              <w:jc w:val="center"/>
            </w:pPr>
            <w:r>
              <w:rPr>
                <w:sz w:val="24"/>
              </w:rPr>
              <w:t xml:space="preserve">1.1.</w:t>
            </w:r>
          </w:p>
        </w:tc>
        <w:tc>
          <w:tcPr>
            <w:tcW w:w="7370" w:type="dxa"/>
          </w:tcPr>
          <w:p>
            <w:pPr>
              <w:pStyle w:val="0"/>
              <w:jc w:val="both"/>
            </w:pPr>
            <w:r>
              <w:rPr>
                <w:sz w:val="24"/>
              </w:rPr>
              <w:t xml:space="preserve">Затраты на оплату труда и начисления на выплаты по оплате труда работников, принимающих непосредственное участие в оказании медицинской помощи</w:t>
            </w:r>
          </w:p>
        </w:tc>
        <w:tc>
          <w:tcPr>
            <w:tcW w:w="1020" w:type="dxa"/>
          </w:tcPr>
          <w:p>
            <w:pPr>
              <w:pStyle w:val="0"/>
            </w:pPr>
            <w:r>
              <w:rPr>
                <w:sz w:val="24"/>
              </w:rPr>
            </w:r>
          </w:p>
        </w:tc>
      </w:tr>
      <w:tr>
        <w:tc>
          <w:tcPr>
            <w:tcW w:w="680" w:type="dxa"/>
          </w:tcPr>
          <w:p>
            <w:pPr>
              <w:pStyle w:val="0"/>
              <w:jc w:val="center"/>
            </w:pPr>
            <w:r>
              <w:rPr>
                <w:sz w:val="24"/>
              </w:rPr>
              <w:t xml:space="preserve">1.2.</w:t>
            </w:r>
          </w:p>
        </w:tc>
        <w:tc>
          <w:tcPr>
            <w:tcW w:w="7370" w:type="dxa"/>
          </w:tcPr>
          <w:p>
            <w:pPr>
              <w:pStyle w:val="0"/>
              <w:jc w:val="both"/>
            </w:pPr>
            <w:r>
              <w:rPr>
                <w:sz w:val="24"/>
              </w:rPr>
              <w:t xml:space="preserve">Затраты на приобретение материальных запасов, потребляемых в процессе оказания медицинской помощи</w:t>
            </w:r>
          </w:p>
        </w:tc>
        <w:tc>
          <w:tcPr>
            <w:tcW w:w="1020" w:type="dxa"/>
          </w:tcPr>
          <w:p>
            <w:pPr>
              <w:pStyle w:val="0"/>
            </w:pPr>
            <w:r>
              <w:rPr>
                <w:sz w:val="24"/>
              </w:rPr>
            </w:r>
          </w:p>
        </w:tc>
      </w:tr>
      <w:tr>
        <w:tc>
          <w:tcPr>
            <w:tcW w:w="680" w:type="dxa"/>
          </w:tcPr>
          <w:p>
            <w:pPr>
              <w:pStyle w:val="0"/>
              <w:jc w:val="center"/>
            </w:pPr>
            <w:r>
              <w:rPr>
                <w:sz w:val="24"/>
              </w:rPr>
              <w:t xml:space="preserve">1.3.</w:t>
            </w:r>
          </w:p>
        </w:tc>
        <w:tc>
          <w:tcPr>
            <w:tcW w:w="7370" w:type="dxa"/>
          </w:tcPr>
          <w:p>
            <w:pPr>
              <w:pStyle w:val="0"/>
              <w:jc w:val="both"/>
            </w:pPr>
            <w:r>
              <w:rPr>
                <w:sz w:val="24"/>
              </w:rPr>
              <w:t xml:space="preserve">Сумма начисленной амортизации основных средств (оборудование, производственный и хозяйственный инвентарь) стоимостью до четырехсот тысяч рублей за единицу, используемых при оказании медицинской помощи (стоимостью свыше четырехсот тысяч рублей за единицу - при включении указанных расходов в территориальную программу)</w:t>
            </w:r>
          </w:p>
        </w:tc>
        <w:tc>
          <w:tcPr>
            <w:tcW w:w="1020" w:type="dxa"/>
          </w:tcPr>
          <w:p>
            <w:pPr>
              <w:pStyle w:val="0"/>
            </w:pPr>
            <w:r>
              <w:rPr>
                <w:sz w:val="24"/>
              </w:rPr>
            </w:r>
          </w:p>
        </w:tc>
      </w:tr>
      <w:tr>
        <w:tc>
          <w:tcPr>
            <w:tcW w:w="680" w:type="dxa"/>
          </w:tcPr>
          <w:p>
            <w:pPr>
              <w:pStyle w:val="0"/>
              <w:jc w:val="center"/>
            </w:pPr>
            <w:r>
              <w:rPr>
                <w:sz w:val="24"/>
              </w:rPr>
              <w:t xml:space="preserve">1.4.</w:t>
            </w:r>
          </w:p>
        </w:tc>
        <w:tc>
          <w:tcPr>
            <w:tcW w:w="7370" w:type="dxa"/>
          </w:tcPr>
          <w:p>
            <w:pPr>
              <w:pStyle w:val="0"/>
              <w:jc w:val="both"/>
            </w:pPr>
            <w:r>
              <w:rPr>
                <w:sz w:val="24"/>
              </w:rPr>
              <w:t xml:space="preserve">Иные затраты, непосредственно связанные с оказанием медицинской помощи</w:t>
            </w:r>
          </w:p>
        </w:tc>
        <w:tc>
          <w:tcPr>
            <w:tcW w:w="1020" w:type="dxa"/>
          </w:tcPr>
          <w:p>
            <w:pPr>
              <w:pStyle w:val="0"/>
            </w:pPr>
            <w:r>
              <w:rPr>
                <w:sz w:val="24"/>
              </w:rPr>
            </w:r>
          </w:p>
        </w:tc>
      </w:tr>
      <w:tr>
        <w:tc>
          <w:tcPr>
            <w:tcW w:w="680" w:type="dxa"/>
          </w:tcPr>
          <w:p>
            <w:pPr>
              <w:pStyle w:val="0"/>
            </w:pPr>
            <w:r>
              <w:rPr>
                <w:sz w:val="24"/>
              </w:rPr>
            </w:r>
          </w:p>
        </w:tc>
        <w:tc>
          <w:tcPr>
            <w:tcW w:w="7370" w:type="dxa"/>
          </w:tcPr>
          <w:p>
            <w:pPr>
              <w:pStyle w:val="0"/>
              <w:jc w:val="both"/>
            </w:pPr>
            <w:r>
              <w:rPr>
                <w:sz w:val="24"/>
              </w:rPr>
              <w:t xml:space="preserve">Итого затрат, непосредственно связанных с оказанием медицинской помощи</w:t>
            </w:r>
          </w:p>
        </w:tc>
        <w:tc>
          <w:tcPr>
            <w:tcW w:w="1020" w:type="dxa"/>
          </w:tcPr>
          <w:p>
            <w:pPr>
              <w:pStyle w:val="0"/>
            </w:pPr>
            <w:r>
              <w:rPr>
                <w:sz w:val="24"/>
              </w:rPr>
            </w:r>
          </w:p>
        </w:tc>
      </w:tr>
      <w:tr>
        <w:tc>
          <w:tcPr>
            <w:tcW w:w="680" w:type="dxa"/>
          </w:tcPr>
          <w:p>
            <w:pPr>
              <w:pStyle w:val="0"/>
              <w:jc w:val="center"/>
            </w:pPr>
            <w:r>
              <w:rPr>
                <w:sz w:val="24"/>
              </w:rPr>
              <w:t xml:space="preserve">2.1.</w:t>
            </w:r>
          </w:p>
        </w:tc>
        <w:tc>
          <w:tcPr>
            <w:tcW w:w="7370" w:type="dxa"/>
          </w:tcPr>
          <w:p>
            <w:pPr>
              <w:pStyle w:val="0"/>
              <w:jc w:val="both"/>
            </w:pPr>
            <w:r>
              <w:rPr>
                <w:sz w:val="24"/>
              </w:rPr>
              <w:t xml:space="preserve">Затраты на коммунальные услуги</w:t>
            </w:r>
          </w:p>
        </w:tc>
        <w:tc>
          <w:tcPr>
            <w:tcW w:w="1020" w:type="dxa"/>
          </w:tcPr>
          <w:p>
            <w:pPr>
              <w:pStyle w:val="0"/>
            </w:pPr>
            <w:r>
              <w:rPr>
                <w:sz w:val="24"/>
              </w:rPr>
            </w:r>
          </w:p>
        </w:tc>
      </w:tr>
      <w:tr>
        <w:tc>
          <w:tcPr>
            <w:tcW w:w="680" w:type="dxa"/>
          </w:tcPr>
          <w:p>
            <w:pPr>
              <w:pStyle w:val="0"/>
              <w:jc w:val="center"/>
            </w:pPr>
            <w:r>
              <w:rPr>
                <w:sz w:val="24"/>
              </w:rPr>
              <w:t xml:space="preserve">2.2.</w:t>
            </w:r>
          </w:p>
        </w:tc>
        <w:tc>
          <w:tcPr>
            <w:tcW w:w="7370" w:type="dxa"/>
          </w:tcPr>
          <w:p>
            <w:pPr>
              <w:pStyle w:val="0"/>
              <w:jc w:val="both"/>
            </w:pPr>
            <w:r>
              <w:rPr>
                <w:sz w:val="24"/>
              </w:rPr>
              <w:t xml:space="preserve">Затраты на содержание объектов недвижимого имущества</w:t>
            </w:r>
          </w:p>
        </w:tc>
        <w:tc>
          <w:tcPr>
            <w:tcW w:w="1020" w:type="dxa"/>
          </w:tcPr>
          <w:p>
            <w:pPr>
              <w:pStyle w:val="0"/>
            </w:pPr>
            <w:r>
              <w:rPr>
                <w:sz w:val="24"/>
              </w:rPr>
            </w:r>
          </w:p>
        </w:tc>
      </w:tr>
      <w:tr>
        <w:tc>
          <w:tcPr>
            <w:tcW w:w="680" w:type="dxa"/>
          </w:tcPr>
          <w:p>
            <w:pPr>
              <w:pStyle w:val="0"/>
              <w:jc w:val="center"/>
            </w:pPr>
            <w:r>
              <w:rPr>
                <w:sz w:val="24"/>
              </w:rPr>
              <w:t xml:space="preserve">2.3.</w:t>
            </w:r>
          </w:p>
        </w:tc>
        <w:tc>
          <w:tcPr>
            <w:tcW w:w="7370" w:type="dxa"/>
          </w:tcPr>
          <w:p>
            <w:pPr>
              <w:pStyle w:val="0"/>
              <w:jc w:val="both"/>
            </w:pPr>
            <w:r>
              <w:rPr>
                <w:sz w:val="24"/>
              </w:rPr>
              <w:t xml:space="preserve">Затраты на содержание объектов движимого имущества</w:t>
            </w:r>
          </w:p>
        </w:tc>
        <w:tc>
          <w:tcPr>
            <w:tcW w:w="1020" w:type="dxa"/>
          </w:tcPr>
          <w:p>
            <w:pPr>
              <w:pStyle w:val="0"/>
            </w:pPr>
            <w:r>
              <w:rPr>
                <w:sz w:val="24"/>
              </w:rPr>
            </w:r>
          </w:p>
        </w:tc>
      </w:tr>
      <w:tr>
        <w:tc>
          <w:tcPr>
            <w:tcW w:w="680" w:type="dxa"/>
          </w:tcPr>
          <w:p>
            <w:pPr>
              <w:pStyle w:val="0"/>
              <w:jc w:val="center"/>
            </w:pPr>
            <w:r>
              <w:rPr>
                <w:sz w:val="24"/>
              </w:rPr>
              <w:t xml:space="preserve">2.4.</w:t>
            </w:r>
          </w:p>
        </w:tc>
        <w:tc>
          <w:tcPr>
            <w:tcW w:w="7370" w:type="dxa"/>
          </w:tcPr>
          <w:p>
            <w:pPr>
              <w:pStyle w:val="0"/>
              <w:jc w:val="both"/>
            </w:pPr>
            <w:r>
              <w:rPr>
                <w:sz w:val="24"/>
              </w:rPr>
              <w:t xml:space="preserve">Затраты на приобретение услуг связи</w:t>
            </w:r>
          </w:p>
        </w:tc>
        <w:tc>
          <w:tcPr>
            <w:tcW w:w="1020" w:type="dxa"/>
          </w:tcPr>
          <w:p>
            <w:pPr>
              <w:pStyle w:val="0"/>
            </w:pPr>
            <w:r>
              <w:rPr>
                <w:sz w:val="24"/>
              </w:rPr>
            </w:r>
          </w:p>
        </w:tc>
      </w:tr>
      <w:tr>
        <w:tc>
          <w:tcPr>
            <w:tcW w:w="680" w:type="dxa"/>
          </w:tcPr>
          <w:p>
            <w:pPr>
              <w:pStyle w:val="0"/>
              <w:jc w:val="center"/>
            </w:pPr>
            <w:r>
              <w:rPr>
                <w:sz w:val="24"/>
              </w:rPr>
              <w:t xml:space="preserve">2.5.</w:t>
            </w:r>
          </w:p>
        </w:tc>
        <w:tc>
          <w:tcPr>
            <w:tcW w:w="7370" w:type="dxa"/>
          </w:tcPr>
          <w:p>
            <w:pPr>
              <w:pStyle w:val="0"/>
              <w:jc w:val="both"/>
            </w:pPr>
            <w:r>
              <w:rPr>
                <w:sz w:val="24"/>
              </w:rPr>
              <w:t xml:space="preserve">Затраты на приобретение транспортных услуг</w:t>
            </w:r>
          </w:p>
        </w:tc>
        <w:tc>
          <w:tcPr>
            <w:tcW w:w="1020" w:type="dxa"/>
          </w:tcPr>
          <w:p>
            <w:pPr>
              <w:pStyle w:val="0"/>
            </w:pPr>
            <w:r>
              <w:rPr>
                <w:sz w:val="24"/>
              </w:rPr>
            </w:r>
          </w:p>
        </w:tc>
      </w:tr>
      <w:tr>
        <w:tc>
          <w:tcPr>
            <w:tcW w:w="680" w:type="dxa"/>
          </w:tcPr>
          <w:p>
            <w:pPr>
              <w:pStyle w:val="0"/>
              <w:jc w:val="center"/>
            </w:pPr>
            <w:r>
              <w:rPr>
                <w:sz w:val="24"/>
              </w:rPr>
              <w:t xml:space="preserve">2.6.</w:t>
            </w:r>
          </w:p>
        </w:tc>
        <w:tc>
          <w:tcPr>
            <w:tcW w:w="7370" w:type="dxa"/>
          </w:tcPr>
          <w:p>
            <w:pPr>
              <w:pStyle w:val="0"/>
              <w:jc w:val="both"/>
            </w:pPr>
            <w:r>
              <w:rPr>
                <w:sz w:val="24"/>
              </w:rPr>
              <w:t xml:space="preserve">Затраты на оплату труда и начисления на выплаты по оплате труда работников медицинской организации, которые не принимают непосредственного участия в оказании медицинской помощи (административно-управленческого, административно-хозяйственного, вспомогательного и иного персонала, не принимающего непосредственное участие в оказании медицинской помощи)</w:t>
            </w:r>
          </w:p>
        </w:tc>
        <w:tc>
          <w:tcPr>
            <w:tcW w:w="1020" w:type="dxa"/>
          </w:tcPr>
          <w:p>
            <w:pPr>
              <w:pStyle w:val="0"/>
            </w:pPr>
            <w:r>
              <w:rPr>
                <w:sz w:val="24"/>
              </w:rPr>
            </w:r>
          </w:p>
        </w:tc>
      </w:tr>
      <w:tr>
        <w:tc>
          <w:tcPr>
            <w:tcW w:w="680" w:type="dxa"/>
          </w:tcPr>
          <w:p>
            <w:pPr>
              <w:pStyle w:val="0"/>
              <w:jc w:val="center"/>
            </w:pPr>
            <w:r>
              <w:rPr>
                <w:sz w:val="24"/>
              </w:rPr>
              <w:t xml:space="preserve">2.7.</w:t>
            </w:r>
          </w:p>
        </w:tc>
        <w:tc>
          <w:tcPr>
            <w:tcW w:w="7370" w:type="dxa"/>
          </w:tcPr>
          <w:p>
            <w:pPr>
              <w:pStyle w:val="0"/>
              <w:jc w:val="both"/>
            </w:pPr>
            <w:r>
              <w:rPr>
                <w:sz w:val="24"/>
              </w:rPr>
              <w:t xml:space="preserve">Сумма начисленной амортизации основных средств (оборудование, производственный и хозяйственный инвентарь) стоимостью до четырехсот тысяч рублей за единицу, не используемых при оказании медицинской помощи (стоимостью свыше четырехсот тысяч рублей за единицу - при включении указанных расходов в территориальную программу)</w:t>
            </w:r>
          </w:p>
        </w:tc>
        <w:tc>
          <w:tcPr>
            <w:tcW w:w="1020" w:type="dxa"/>
          </w:tcPr>
          <w:p>
            <w:pPr>
              <w:pStyle w:val="0"/>
            </w:pPr>
            <w:r>
              <w:rPr>
                <w:sz w:val="24"/>
              </w:rPr>
            </w:r>
          </w:p>
        </w:tc>
      </w:tr>
      <w:tr>
        <w:tc>
          <w:tcPr>
            <w:tcW w:w="680" w:type="dxa"/>
          </w:tcPr>
          <w:p>
            <w:pPr>
              <w:pStyle w:val="0"/>
              <w:jc w:val="center"/>
            </w:pPr>
            <w:r>
              <w:rPr>
                <w:sz w:val="24"/>
              </w:rPr>
              <w:t xml:space="preserve">2.8.</w:t>
            </w:r>
          </w:p>
        </w:tc>
        <w:tc>
          <w:tcPr>
            <w:tcW w:w="7370" w:type="dxa"/>
          </w:tcPr>
          <w:p>
            <w:pPr>
              <w:pStyle w:val="0"/>
              <w:jc w:val="both"/>
            </w:pPr>
            <w:r>
              <w:rPr>
                <w:sz w:val="24"/>
              </w:rPr>
              <w:t xml:space="preserve">Прочие затраты на общехозяйственные нужды</w:t>
            </w:r>
          </w:p>
        </w:tc>
        <w:tc>
          <w:tcPr>
            <w:tcW w:w="1020" w:type="dxa"/>
          </w:tcPr>
          <w:p>
            <w:pPr>
              <w:pStyle w:val="0"/>
            </w:pPr>
            <w:r>
              <w:rPr>
                <w:sz w:val="24"/>
              </w:rPr>
            </w:r>
          </w:p>
        </w:tc>
      </w:tr>
      <w:tr>
        <w:tc>
          <w:tcPr>
            <w:tcW w:w="680" w:type="dxa"/>
          </w:tcPr>
          <w:p>
            <w:pPr>
              <w:pStyle w:val="0"/>
            </w:pPr>
            <w:r>
              <w:rPr>
                <w:sz w:val="24"/>
              </w:rPr>
            </w:r>
          </w:p>
        </w:tc>
        <w:tc>
          <w:tcPr>
            <w:tcW w:w="7370" w:type="dxa"/>
          </w:tcPr>
          <w:p>
            <w:pPr>
              <w:pStyle w:val="0"/>
              <w:jc w:val="both"/>
            </w:pPr>
            <w:r>
              <w:rPr>
                <w:sz w:val="24"/>
              </w:rPr>
              <w:t xml:space="preserve">Итого затрат, необходимых для обеспечения деятельности медицинской организации в целом</w:t>
            </w:r>
          </w:p>
        </w:tc>
        <w:tc>
          <w:tcPr>
            <w:tcW w:w="1020" w:type="dxa"/>
          </w:tcPr>
          <w:p>
            <w:pPr>
              <w:pStyle w:val="0"/>
            </w:pPr>
            <w:r>
              <w:rPr>
                <w:sz w:val="24"/>
              </w:rPr>
            </w:r>
          </w:p>
        </w:tc>
      </w:tr>
      <w:tr>
        <w:tc>
          <w:tcPr>
            <w:tcW w:w="680" w:type="dxa"/>
          </w:tcPr>
          <w:p>
            <w:pPr>
              <w:pStyle w:val="0"/>
            </w:pPr>
            <w:r>
              <w:rPr>
                <w:sz w:val="24"/>
              </w:rPr>
            </w:r>
          </w:p>
        </w:tc>
        <w:tc>
          <w:tcPr>
            <w:tcW w:w="7370" w:type="dxa"/>
          </w:tcPr>
          <w:p>
            <w:pPr>
              <w:pStyle w:val="0"/>
              <w:jc w:val="both"/>
            </w:pPr>
            <w:r>
              <w:rPr>
                <w:sz w:val="24"/>
              </w:rPr>
              <w:t xml:space="preserve">Стоимость медицинской помощи</w:t>
            </w:r>
          </w:p>
        </w:tc>
        <w:tc>
          <w:tcPr>
            <w:tcW w:w="1020" w:type="dxa"/>
          </w:tcPr>
          <w:p>
            <w:pPr>
              <w:pStyle w:val="0"/>
            </w:pPr>
            <w:r>
              <w:rPr>
                <w:sz w:val="24"/>
              </w:rPr>
            </w:r>
          </w:p>
        </w:tc>
      </w:tr>
    </w:tbl>
    <w:p>
      <w:pPr>
        <w:pStyle w:val="0"/>
        <w:jc w:val="both"/>
      </w:pPr>
      <w:r>
        <w:rPr>
          <w:sz w:val="24"/>
        </w:rPr>
      </w:r>
    </w:p>
    <w:p>
      <w:pPr>
        <w:pStyle w:val="2"/>
        <w:outlineLvl w:val="1"/>
        <w:jc w:val="center"/>
      </w:pPr>
      <w:r>
        <w:rPr>
          <w:sz w:val="24"/>
        </w:rPr>
        <w:t xml:space="preserve">XII. Методика расчета объемов финансового обеспечения</w:t>
      </w:r>
    </w:p>
    <w:p>
      <w:pPr>
        <w:pStyle w:val="2"/>
        <w:jc w:val="center"/>
      </w:pPr>
      <w:r>
        <w:rPr>
          <w:sz w:val="24"/>
        </w:rPr>
        <w:t xml:space="preserve">медицинской помощи</w:t>
      </w:r>
    </w:p>
    <w:p>
      <w:pPr>
        <w:pStyle w:val="0"/>
        <w:jc w:val="both"/>
      </w:pPr>
      <w:r>
        <w:rPr>
          <w:sz w:val="24"/>
        </w:rPr>
      </w:r>
    </w:p>
    <w:p>
      <w:pPr>
        <w:pStyle w:val="0"/>
        <w:ind w:firstLine="540"/>
        <w:jc w:val="both"/>
      </w:pPr>
      <w:r>
        <w:rPr>
          <w:sz w:val="24"/>
        </w:rPr>
        <w:t xml:space="preserve">294. Объем финансового обеспечения медицинской помощи рассчитывается на основании объемов предоставления медицинской помощи, распределенных медицинской организации (филиалу/представительству медицинской организации) решением Комиссии, по тарифам на оплату медицинской помощи, установленным в тарифном соглашении, заключаемом в соответствии со </w:t>
      </w:r>
      <w:hyperlink w:history="0" r:id="rId235" w:tooltip="Федеральный закон от 29.11.2010 N 326-ФЗ (ред. от 20.02.2026) &quot;Об обязательном медицинском страховании в Российской Федерации&quot; {КонсультантПлюс}">
        <w:r>
          <w:rPr>
            <w:sz w:val="24"/>
            <w:color w:val="0000ff"/>
          </w:rPr>
          <w:t xml:space="preserve">статьей 30</w:t>
        </w:r>
      </w:hyperlink>
      <w:r>
        <w:rPr>
          <w:sz w:val="24"/>
        </w:rPr>
        <w:t xml:space="preserve"> Федерального закона, и (или) объемов предоставления медицинской помощи, распределенных (перераспределенных) в порядке, установленном Правительством Российской Федерации в соответствии с </w:t>
      </w:r>
      <w:hyperlink w:history="0" r:id="rId236" w:tooltip="Федеральный закон от 29.11.2010 N 326-ФЗ (ред. от 20.02.2026) &quot;Об обязательном медицинском страховании в Российской Федерации&quot; {КонсультантПлюс}">
        <w:r>
          <w:rPr>
            <w:sz w:val="24"/>
            <w:color w:val="0000ff"/>
          </w:rPr>
          <w:t xml:space="preserve">частью 3.2 статьи 35</w:t>
        </w:r>
      </w:hyperlink>
      <w:r>
        <w:rPr>
          <w:sz w:val="24"/>
        </w:rPr>
        <w:t xml:space="preserve"> Федерального закона, по тарифам на оплату медицинской помощи, установленным в соответствии с </w:t>
      </w:r>
      <w:hyperlink w:history="0" r:id="rId237" w:tooltip="Федеральный закон от 29.11.2010 N 326-ФЗ (ред. от 20.02.2026) &quot;Об обязательном медицинском страховании в Российской Федерации&quot; {КонсультантПлюс}">
        <w:r>
          <w:rPr>
            <w:sz w:val="24"/>
            <w:color w:val="0000ff"/>
          </w:rPr>
          <w:t xml:space="preserve">частью 3.1 статьи 30</w:t>
        </w:r>
      </w:hyperlink>
      <w:r>
        <w:rPr>
          <w:sz w:val="24"/>
        </w:rPr>
        <w:t xml:space="preserve"> Федерального закона (далее при совместном упоминании - распределение объемов медицинской помощи, тарифы на оплату медицинской помощи).</w:t>
      </w:r>
    </w:p>
    <w:p>
      <w:pPr>
        <w:pStyle w:val="0"/>
        <w:spacing w:before="240" w:lineRule="auto"/>
        <w:ind w:firstLine="540"/>
        <w:jc w:val="both"/>
      </w:pPr>
      <w:r>
        <w:rPr>
          <w:sz w:val="24"/>
        </w:rPr>
        <w:t xml:space="preserve">295. Объем финансового обеспечения медицинской помощи пересчитывается при изменении объемов предоставления медицинской помощи, распределенных медицинской организации (филиалу/представительству медицинской организации), и (или) тарифов на оплату медицинской помощи.</w:t>
      </w:r>
    </w:p>
    <w:p>
      <w:pPr>
        <w:pStyle w:val="0"/>
        <w:spacing w:before="240" w:lineRule="auto"/>
        <w:ind w:firstLine="540"/>
        <w:jc w:val="both"/>
      </w:pPr>
      <w:r>
        <w:rPr>
          <w:sz w:val="24"/>
        </w:rPr>
        <w:t xml:space="preserve">296. Объемы финансового обеспечения медицинской помощи определяются в расчете на год в целом по медицинской организации, в том числе по филиалам/представительствам медицинской организации, осуществляющим самостоятельное представление счетов и реестров счетов на оплату медицинской помощи и получение оплаты по выставленным счетам и реестрам счетов на оплату медицинской помощи, а также в разрезе условий и способов оказания медицинской помощи (за исключением способа оплаты медицинской помощи за прерванный случай), профилей специализированной, в том числе высокотехнологичной медицинской помощи, предусмотренной к оказанию медицинской организацией (филиалом/представительством) в соответствии с распределением объемов предоставления медицинской помощи, а также групп и видов высокотехнологичной медицинской помощи, заболеваний и состояний (групп заболеваний и групп состояний) специализированной медицинской помощи, отдельных наименований медицинских услуг, в том числе диагностических (лабораторных) исследований в случае установления решением Комиссии распределения объемов предоставления медицинской помощи в разрезе групп и видов высокотехнологичной медицинской помощи, заболеваний и состояний (групп заболеваний и групп состояний) специализированной медицинской помощи, отдельных наименований медицинских услуг, в том числе диагностических (лабораторных) исследований.</w:t>
      </w:r>
    </w:p>
    <w:p>
      <w:pPr>
        <w:pStyle w:val="0"/>
        <w:spacing w:before="240" w:lineRule="auto"/>
        <w:ind w:firstLine="540"/>
        <w:jc w:val="both"/>
      </w:pPr>
      <w:r>
        <w:rPr>
          <w:sz w:val="24"/>
        </w:rPr>
        <w:t xml:space="preserve">297. Общий объем финансового обеспечения медицинской помощи по медицинской организации определяется как сумма объемов финансового обеспечения, рассчитанных по условиям оказания медицинской помощи, по которым медицинской организации распределены объемы предоставления медицинской помощи.</w:t>
      </w:r>
    </w:p>
    <w:p>
      <w:pPr>
        <w:pStyle w:val="0"/>
        <w:spacing w:before="240" w:lineRule="auto"/>
        <w:ind w:firstLine="540"/>
        <w:jc w:val="both"/>
      </w:pPr>
      <w:r>
        <w:rPr>
          <w:sz w:val="24"/>
        </w:rPr>
        <w:t xml:space="preserve">298. Объем финансового обеспечения медицинской помощи по условиям оказания медицинской помощи рассчитывается как сумма объемов финансового обеспечения медицинской помощи по способам оплаты медицинской помощи, применяемым для указанной медицинской организации по данному условию оказания медицинской помощи в соответствии с тарифным соглашением, установленным в соответствии со </w:t>
      </w:r>
      <w:hyperlink w:history="0" r:id="rId238" w:tooltip="Федеральный закон от 29.11.2010 N 326-ФЗ (ред. от 20.02.2026) &quot;Об обязательном медицинском страховании в Российской Федерации&quot; {КонсультантПлюс}">
        <w:r>
          <w:rPr>
            <w:sz w:val="24"/>
            <w:color w:val="0000ff"/>
          </w:rPr>
          <w:t xml:space="preserve">статьей 30</w:t>
        </w:r>
      </w:hyperlink>
      <w:r>
        <w:rPr>
          <w:sz w:val="24"/>
        </w:rPr>
        <w:t xml:space="preserve"> Федерального закона.</w:t>
      </w:r>
    </w:p>
    <w:p>
      <w:pPr>
        <w:pStyle w:val="0"/>
        <w:spacing w:before="240" w:lineRule="auto"/>
        <w:ind w:firstLine="540"/>
        <w:jc w:val="both"/>
      </w:pPr>
      <w:r>
        <w:rPr>
          <w:sz w:val="24"/>
        </w:rPr>
        <w:t xml:space="preserve">299. Объем финансового обеспечения медицинской помощи, оказываемой в стационарных условиях, за исключением высокотехнологичной медицинской помощи, рассчитывается как сумма объемов финансового обеспечения медицинской помощи по профилям оказания медицинской помощи в стационарных условиях, за исключением высокотехнологичной медицинской помощи, по которым медицинской организации распределены объемы предоставления медицинской помощи.</w:t>
      </w:r>
    </w:p>
    <w:p>
      <w:pPr>
        <w:pStyle w:val="0"/>
        <w:spacing w:before="240" w:lineRule="auto"/>
        <w:ind w:firstLine="540"/>
        <w:jc w:val="both"/>
      </w:pPr>
      <w:r>
        <w:rPr>
          <w:sz w:val="24"/>
        </w:rPr>
        <w:t xml:space="preserve">300. Объем финансового обеспечения медицинской помощи, оказываемой в стационарных условиях, рассчитывается как сумма объемов финансового обеспечения медицинской помощи по профилям оказания медицинской помощи в стационарных условиях, по которым медицинской организации распределены объемы предоставления медицинской помощи.</w:t>
      </w:r>
    </w:p>
    <w:p>
      <w:pPr>
        <w:pStyle w:val="0"/>
        <w:spacing w:before="240" w:lineRule="auto"/>
        <w:ind w:firstLine="540"/>
        <w:jc w:val="both"/>
      </w:pPr>
      <w:r>
        <w:rPr>
          <w:sz w:val="24"/>
        </w:rPr>
        <w:t xml:space="preserve">301. В случае выделения при распределении объемов предоставления медицинской помощи групп и видов высокотехнологичной медицинской помощи, заболеваний и состояний (групп заболеваний и групп состояний) специализированной медицинской помощи, отдельных наименований медицинских услуг объем финансового обеспечения медицинской помощи в стационарных условиях по профилям медицинской помощи определяется как сумма объемов финансового обеспечения медицинской помощи по группам и видам высокотехнологичной медицинской помощи, заболеваниям и состояниям (группам заболеваний и группам состояний) специализированной медицинской помощи, отдельным наименованиям медицинских услуг, входящим в соответствующий профиль медицинской помощи.</w:t>
      </w:r>
    </w:p>
    <w:p>
      <w:pPr>
        <w:pStyle w:val="0"/>
        <w:spacing w:before="240" w:lineRule="auto"/>
        <w:ind w:firstLine="540"/>
        <w:jc w:val="both"/>
      </w:pPr>
      <w:r>
        <w:rPr>
          <w:sz w:val="24"/>
        </w:rPr>
        <w:t xml:space="preserve">302. В случае выделения при распределении объемов предоставления медицинской помощи отдельных наименований медицинских услуг, оплата оказания которых осуществляется за единицу объема оказания медицинской услуги, объем финансового обеспечения медицинской помощи по данному способу оплаты медицинской помощи рассчитывается как сумма объемов финансового обеспечения медицинской помощи по каждой выделенной в распределении объемов предоставления медицинской помощи медицинской услуге.</w:t>
      </w:r>
    </w:p>
    <w:p>
      <w:pPr>
        <w:pStyle w:val="0"/>
        <w:spacing w:before="240" w:lineRule="auto"/>
        <w:ind w:firstLine="540"/>
        <w:jc w:val="both"/>
      </w:pPr>
      <w:r>
        <w:rPr>
          <w:sz w:val="24"/>
        </w:rPr>
        <w:t xml:space="preserve">303. Объем финансового обеспечения медицинской помощи по условиям оказания и способу оплаты медицинской помощи, профилю и виду медицинской помощи, наименованию медицинской услуги рассчитывается как произведение объема предоставления соответствующей медицинской помощи, распределенного медицинской организации, на установленный в тарифном соглашении, заключаемом в соответствии со </w:t>
      </w:r>
      <w:hyperlink w:history="0" r:id="rId239" w:tooltip="Федеральный закон от 29.11.2010 N 326-ФЗ (ред. от 20.02.2026) &quot;Об обязательном медицинском страховании в Российской Федерации&quot; {КонсультантПлюс}">
        <w:r>
          <w:rPr>
            <w:sz w:val="24"/>
            <w:color w:val="0000ff"/>
          </w:rPr>
          <w:t xml:space="preserve">статьей 30</w:t>
        </w:r>
      </w:hyperlink>
      <w:r>
        <w:rPr>
          <w:sz w:val="24"/>
        </w:rPr>
        <w:t xml:space="preserve"> Федерального закона, или порядке, предусмотренном </w:t>
      </w:r>
      <w:hyperlink w:history="0" r:id="rId240" w:tooltip="Федеральный закон от 29.11.2010 N 326-ФЗ (ред. от 20.02.2026) &quot;Об обязательном медицинском страховании в Российской Федерации&quot; {КонсультантПлюс}">
        <w:r>
          <w:rPr>
            <w:sz w:val="24"/>
            <w:color w:val="0000ff"/>
          </w:rPr>
          <w:t xml:space="preserve">частью 3.1 статьи 30</w:t>
        </w:r>
      </w:hyperlink>
      <w:r>
        <w:rPr>
          <w:sz w:val="24"/>
        </w:rPr>
        <w:t xml:space="preserve"> Федерального закона, соответствующий условиям оказания и способу оплаты медицинской помощи, профилю и виду медицинской помощи, наименованию медицинской услуги и данной медицинской организации тариф на оплату медицинской помощи (подушевой норматив финансирования).</w:t>
      </w:r>
    </w:p>
    <w:p>
      <w:pPr>
        <w:pStyle w:val="0"/>
        <w:spacing w:before="240" w:lineRule="auto"/>
        <w:ind w:firstLine="540"/>
        <w:jc w:val="both"/>
      </w:pPr>
      <w:r>
        <w:rPr>
          <w:sz w:val="24"/>
        </w:rPr>
        <w:t xml:space="preserve">304. При расчете объемов финансового обеспечения медицинской помощи тарифы на оплату медицинской помощи (подушевые нормативы финансирования), установленные в тарифном соглашении, заключаемом в соответствии со </w:t>
      </w:r>
      <w:hyperlink w:history="0" r:id="rId241" w:tooltip="Федеральный закон от 29.11.2010 N 326-ФЗ (ред. от 20.02.2026) &quot;Об обязательном медицинском страховании в Российской Федерации&quot; {КонсультантПлюс}">
        <w:r>
          <w:rPr>
            <w:sz w:val="24"/>
            <w:color w:val="0000ff"/>
          </w:rPr>
          <w:t xml:space="preserve">статьей 30</w:t>
        </w:r>
      </w:hyperlink>
      <w:r>
        <w:rPr>
          <w:sz w:val="24"/>
        </w:rPr>
        <w:t xml:space="preserve"> Федерального закона, или порядке, предусмотренном </w:t>
      </w:r>
      <w:hyperlink w:history="0" r:id="rId242" w:tooltip="Федеральный закон от 29.11.2010 N 326-ФЗ (ред. от 20.02.2026) &quot;Об обязательном медицинском страховании в Российской Федерации&quot; {КонсультантПлюс}">
        <w:r>
          <w:rPr>
            <w:sz w:val="24"/>
            <w:color w:val="0000ff"/>
          </w:rPr>
          <w:t xml:space="preserve">частью 3.1 статьи 30</w:t>
        </w:r>
      </w:hyperlink>
      <w:r>
        <w:rPr>
          <w:sz w:val="24"/>
        </w:rPr>
        <w:t xml:space="preserve"> Федерального закона, применяются с учетом следующих особенностей:</w:t>
      </w:r>
    </w:p>
    <w:p>
      <w:pPr>
        <w:pStyle w:val="0"/>
        <w:spacing w:before="240" w:lineRule="auto"/>
        <w:ind w:firstLine="540"/>
        <w:jc w:val="both"/>
      </w:pPr>
      <w:r>
        <w:rPr>
          <w:sz w:val="24"/>
        </w:rPr>
        <w:t xml:space="preserve">а) в случае применения способа оплаты медицинской помощи по подушевому нормативу финансирования с учетом показателей результативности деятельности медицинской организации принимается допущение, что медицинской организации будут выполнены все установленные показатели результативности деятельности;</w:t>
      </w:r>
    </w:p>
    <w:p>
      <w:pPr>
        <w:pStyle w:val="0"/>
        <w:spacing w:before="240" w:lineRule="auto"/>
        <w:ind w:firstLine="540"/>
        <w:jc w:val="both"/>
      </w:pPr>
      <w:r>
        <w:rPr>
          <w:sz w:val="24"/>
        </w:rPr>
        <w:t xml:space="preserve">б) при определении тарифов на оплату медицинской помощи:</w:t>
      </w:r>
    </w:p>
    <w:p>
      <w:pPr>
        <w:pStyle w:val="0"/>
        <w:spacing w:before="240" w:lineRule="auto"/>
        <w:ind w:firstLine="540"/>
        <w:jc w:val="both"/>
      </w:pPr>
      <w:r>
        <w:rPr>
          <w:sz w:val="24"/>
        </w:rPr>
        <w:t xml:space="preserve">принимаются установленные для данной медицинской организации (филиалу/представительству медицинской организации) в тарифном соглашении, заключаемом в соответствии со </w:t>
      </w:r>
      <w:hyperlink w:history="0" r:id="rId243" w:tooltip="Федеральный закон от 29.11.2010 N 326-ФЗ (ред. от 20.02.2026) &quot;Об обязательном медицинском страховании в Российской Федерации&quot; {КонсультантПлюс}">
        <w:r>
          <w:rPr>
            <w:sz w:val="24"/>
            <w:color w:val="0000ff"/>
          </w:rPr>
          <w:t xml:space="preserve">статьей 30</w:t>
        </w:r>
      </w:hyperlink>
      <w:r>
        <w:rPr>
          <w:sz w:val="24"/>
        </w:rPr>
        <w:t xml:space="preserve"> Федерального закона или порядке, предусмотренном </w:t>
      </w:r>
      <w:hyperlink w:history="0" r:id="rId244" w:tooltip="Федеральный закон от 29.11.2010 N 326-ФЗ (ред. от 20.02.2026) &quot;Об обязательном медицинском страховании в Российской Федерации&quot; {КонсультантПлюс}">
        <w:r>
          <w:rPr>
            <w:sz w:val="24"/>
            <w:color w:val="0000ff"/>
          </w:rPr>
          <w:t xml:space="preserve">частью 3.1 статьи 30</w:t>
        </w:r>
      </w:hyperlink>
      <w:r>
        <w:rPr>
          <w:sz w:val="24"/>
        </w:rPr>
        <w:t xml:space="preserve"> Федерального закона, значения коэффициентов уровня оказания медицинской помощи, специфики оказания медицинской помощи, дифференциации;</w:t>
      </w:r>
    </w:p>
    <w:p>
      <w:pPr>
        <w:pStyle w:val="0"/>
        <w:spacing w:before="240" w:lineRule="auto"/>
        <w:ind w:firstLine="540"/>
        <w:jc w:val="both"/>
      </w:pPr>
      <w:r>
        <w:rPr>
          <w:sz w:val="24"/>
        </w:rPr>
        <w:t xml:space="preserve">значение коэффициента сложности лечения пациента применяется на уровне, соответствующем среднему значению коэффициента сложности лечения пациента в данной медицинской организации в году, предшествующем году определения объема финансового обеспечения медицинской помощи, по данным счетов и реестров счетов на оплату медицинской помощи, а в случае неоказания медицинской организацией в указанном периоде медицинской помощи применяется среднее значение коэффициента сложности лечения пациента по субъекту Российской Федерации (по медицинским организациям, осуществляющим оказание медицинской помощи, финансовое обеспечение которой осуществляется в соответствии с </w:t>
      </w:r>
      <w:hyperlink w:history="0" r:id="rId245" w:tooltip="Федеральный закон от 29.11.2010 N 326-ФЗ (ред. от 20.02.2026) &quot;Об обязательном медицинском страховании в Российской Федерации&quot; {КонсультантПлюс}">
        <w:r>
          <w:rPr>
            <w:sz w:val="24"/>
            <w:color w:val="0000ff"/>
          </w:rPr>
          <w:t xml:space="preserve">пунктом 11 статьи 5</w:t>
        </w:r>
      </w:hyperlink>
      <w:r>
        <w:rPr>
          <w:sz w:val="24"/>
        </w:rPr>
        <w:t xml:space="preserve"> Федерального закона).</w:t>
      </w:r>
    </w:p>
    <w:p>
      <w:pPr>
        <w:pStyle w:val="0"/>
        <w:jc w:val="both"/>
      </w:pPr>
      <w:r>
        <w:rPr>
          <w:sz w:val="24"/>
        </w:rPr>
      </w:r>
    </w:p>
    <w:p>
      <w:pPr>
        <w:pStyle w:val="2"/>
        <w:outlineLvl w:val="1"/>
        <w:jc w:val="center"/>
      </w:pPr>
      <w:r>
        <w:rPr>
          <w:sz w:val="24"/>
        </w:rPr>
        <w:t xml:space="preserve">XIII. Оказание видов медицинской помощи, установленных</w:t>
      </w:r>
    </w:p>
    <w:p>
      <w:pPr>
        <w:pStyle w:val="2"/>
        <w:jc w:val="center"/>
      </w:pPr>
      <w:r>
        <w:rPr>
          <w:sz w:val="24"/>
        </w:rPr>
        <w:t xml:space="preserve">базовой программой обязательного медицинского страхования,</w:t>
      </w:r>
    </w:p>
    <w:p>
      <w:pPr>
        <w:pStyle w:val="2"/>
        <w:jc w:val="center"/>
      </w:pPr>
      <w:r>
        <w:rPr>
          <w:sz w:val="24"/>
        </w:rPr>
        <w:t xml:space="preserve">застрахованным лицам за счет средств обязательного</w:t>
      </w:r>
    </w:p>
    <w:p>
      <w:pPr>
        <w:pStyle w:val="2"/>
        <w:jc w:val="center"/>
      </w:pPr>
      <w:r>
        <w:rPr>
          <w:sz w:val="24"/>
        </w:rPr>
        <w:t xml:space="preserve">медицинского страхования в медицинских организациях,</w:t>
      </w:r>
    </w:p>
    <w:p>
      <w:pPr>
        <w:pStyle w:val="2"/>
        <w:jc w:val="center"/>
      </w:pPr>
      <w:r>
        <w:rPr>
          <w:sz w:val="24"/>
        </w:rPr>
        <w:t xml:space="preserve">созданных в соответствии с законодательством</w:t>
      </w:r>
    </w:p>
    <w:p>
      <w:pPr>
        <w:pStyle w:val="2"/>
        <w:jc w:val="center"/>
      </w:pPr>
      <w:r>
        <w:rPr>
          <w:sz w:val="24"/>
        </w:rPr>
        <w:t xml:space="preserve">Российской Федерации и находящихся за пределами</w:t>
      </w:r>
    </w:p>
    <w:p>
      <w:pPr>
        <w:pStyle w:val="2"/>
        <w:jc w:val="center"/>
      </w:pPr>
      <w:r>
        <w:rPr>
          <w:sz w:val="24"/>
        </w:rPr>
        <w:t xml:space="preserve">территории Российской Федерации</w:t>
      </w:r>
    </w:p>
    <w:p>
      <w:pPr>
        <w:pStyle w:val="0"/>
        <w:jc w:val="both"/>
      </w:pPr>
      <w:r>
        <w:rPr>
          <w:sz w:val="24"/>
        </w:rPr>
      </w:r>
    </w:p>
    <w:p>
      <w:pPr>
        <w:pStyle w:val="0"/>
        <w:ind w:firstLine="540"/>
        <w:jc w:val="both"/>
      </w:pPr>
      <w:r>
        <w:rPr>
          <w:sz w:val="24"/>
        </w:rPr>
        <w:t xml:space="preserve">305. Застрахованным лицам при возникновении страхового случая медицинская помощь по видам медицинской помощи, установленным базовой программой за счет средств обязательного медицинского страхования, оказывается медицинскими организациями, созданными в соответствии с законодательством Российской Федерации и находящимися за пределами территории Российской Федерации (далее - медицинские организации, находящиеся за пределами Российской Федерации).</w:t>
      </w:r>
    </w:p>
    <w:p>
      <w:pPr>
        <w:pStyle w:val="0"/>
        <w:spacing w:before="240" w:lineRule="auto"/>
        <w:ind w:firstLine="540"/>
        <w:jc w:val="both"/>
      </w:pPr>
      <w:r>
        <w:rPr>
          <w:sz w:val="24"/>
        </w:rPr>
        <w:t xml:space="preserve">306. Медицинская помощь застрахованным лицам оказывается в соответствии с законодательством Российской Федерации.</w:t>
      </w:r>
    </w:p>
    <w:p>
      <w:pPr>
        <w:pStyle w:val="0"/>
        <w:spacing w:before="240" w:lineRule="auto"/>
        <w:ind w:firstLine="540"/>
        <w:jc w:val="both"/>
      </w:pPr>
      <w:r>
        <w:rPr>
          <w:sz w:val="24"/>
        </w:rPr>
        <w:t xml:space="preserve">307. Медицинская организация, находящаяся за пределами Российской Федерации, оказавшая медицинскую помощь застрахованному лицу при возникновении страхового случая, формирует и направляет счет и реестр счета за медицинскую помощь (далее - реестр) в территориальный фонд по месту страхования застрахованного лица не позднее десяти рабочих дней месяца, следующего за месяцем завершения случая оказания медицинской помощи.</w:t>
      </w:r>
    </w:p>
    <w:p>
      <w:pPr>
        <w:pStyle w:val="0"/>
        <w:spacing w:before="240" w:lineRule="auto"/>
        <w:ind w:firstLine="540"/>
        <w:jc w:val="both"/>
      </w:pPr>
      <w:r>
        <w:rPr>
          <w:sz w:val="24"/>
        </w:rPr>
        <w:t xml:space="preserve">308. Счет должен быть заверен подписью руководителя и главного бухгалтера медицинской организации (или иного должностного лица, на которое возлагается ведение бухгалтерского учета) и печатью медицинской организации.</w:t>
      </w:r>
    </w:p>
    <w:p>
      <w:pPr>
        <w:pStyle w:val="0"/>
        <w:spacing w:before="240" w:lineRule="auto"/>
        <w:ind w:firstLine="540"/>
        <w:jc w:val="both"/>
      </w:pPr>
      <w:r>
        <w:rPr>
          <w:sz w:val="24"/>
        </w:rPr>
        <w:t xml:space="preserve">Реестр должен содержать следующую информацию:</w:t>
      </w:r>
    </w:p>
    <w:p>
      <w:pPr>
        <w:pStyle w:val="0"/>
        <w:spacing w:before="240" w:lineRule="auto"/>
        <w:ind w:firstLine="540"/>
        <w:jc w:val="both"/>
      </w:pPr>
      <w:r>
        <w:rPr>
          <w:sz w:val="24"/>
        </w:rPr>
        <w:t xml:space="preserve">1) наименование медицинской организации;</w:t>
      </w:r>
    </w:p>
    <w:p>
      <w:pPr>
        <w:pStyle w:val="0"/>
        <w:spacing w:before="240" w:lineRule="auto"/>
        <w:ind w:firstLine="540"/>
        <w:jc w:val="both"/>
      </w:pPr>
      <w:r>
        <w:rPr>
          <w:sz w:val="24"/>
        </w:rPr>
        <w:t xml:space="preserve">2) идентификационные данные, присвоенные юридическому лицу налоговым органом;</w:t>
      </w:r>
    </w:p>
    <w:p>
      <w:pPr>
        <w:pStyle w:val="0"/>
        <w:spacing w:before="240" w:lineRule="auto"/>
        <w:ind w:firstLine="540"/>
        <w:jc w:val="both"/>
      </w:pPr>
      <w:r>
        <w:rPr>
          <w:sz w:val="24"/>
        </w:rPr>
        <w:t xml:space="preserve">3) период, за который выставлен счет;</w:t>
      </w:r>
    </w:p>
    <w:p>
      <w:pPr>
        <w:pStyle w:val="0"/>
        <w:spacing w:before="240" w:lineRule="auto"/>
        <w:ind w:firstLine="540"/>
        <w:jc w:val="both"/>
      </w:pPr>
      <w:r>
        <w:rPr>
          <w:sz w:val="24"/>
        </w:rPr>
        <w:t xml:space="preserve">4) наименование субъекта Российской Федерации, в котором застрахованному лицу выдан полис;</w:t>
      </w:r>
    </w:p>
    <w:p>
      <w:pPr>
        <w:pStyle w:val="0"/>
        <w:spacing w:before="240" w:lineRule="auto"/>
        <w:ind w:firstLine="540"/>
        <w:jc w:val="both"/>
      </w:pPr>
      <w:r>
        <w:rPr>
          <w:sz w:val="24"/>
        </w:rPr>
        <w:t xml:space="preserve">5) номер позиции реестра;</w:t>
      </w:r>
    </w:p>
    <w:p>
      <w:pPr>
        <w:pStyle w:val="0"/>
        <w:spacing w:before="240" w:lineRule="auto"/>
        <w:ind w:firstLine="540"/>
        <w:jc w:val="both"/>
      </w:pPr>
      <w:r>
        <w:rPr>
          <w:sz w:val="24"/>
        </w:rPr>
        <w:t xml:space="preserve">6) сведения о застрахованном лице:</w:t>
      </w:r>
    </w:p>
    <w:p>
      <w:pPr>
        <w:pStyle w:val="0"/>
        <w:spacing w:before="240" w:lineRule="auto"/>
        <w:ind w:firstLine="540"/>
        <w:jc w:val="both"/>
      </w:pPr>
      <w:r>
        <w:rPr>
          <w:sz w:val="24"/>
        </w:rPr>
        <w:t xml:space="preserve">фамилию, имя, отчество (при наличии);</w:t>
      </w:r>
    </w:p>
    <w:p>
      <w:pPr>
        <w:pStyle w:val="0"/>
        <w:spacing w:before="240" w:lineRule="auto"/>
        <w:ind w:firstLine="540"/>
        <w:jc w:val="both"/>
      </w:pPr>
      <w:r>
        <w:rPr>
          <w:sz w:val="24"/>
        </w:rPr>
        <w:t xml:space="preserve">пол;</w:t>
      </w:r>
    </w:p>
    <w:p>
      <w:pPr>
        <w:pStyle w:val="0"/>
        <w:spacing w:before="240" w:lineRule="auto"/>
        <w:ind w:firstLine="540"/>
        <w:jc w:val="both"/>
      </w:pPr>
      <w:r>
        <w:rPr>
          <w:sz w:val="24"/>
        </w:rPr>
        <w:t xml:space="preserve">дату и место рождения;</w:t>
      </w:r>
    </w:p>
    <w:p>
      <w:pPr>
        <w:pStyle w:val="0"/>
        <w:spacing w:before="240" w:lineRule="auto"/>
        <w:ind w:firstLine="540"/>
        <w:jc w:val="both"/>
      </w:pPr>
      <w:r>
        <w:rPr>
          <w:sz w:val="24"/>
        </w:rPr>
        <w:t xml:space="preserve">серию, номер документа, удостоверяющего личность, сведения о дате выдачи документа и выдавшем его органе;</w:t>
      </w:r>
    </w:p>
    <w:p>
      <w:pPr>
        <w:pStyle w:val="0"/>
        <w:spacing w:before="240" w:lineRule="auto"/>
        <w:ind w:firstLine="540"/>
        <w:jc w:val="both"/>
      </w:pPr>
      <w:r>
        <w:rPr>
          <w:sz w:val="24"/>
        </w:rPr>
        <w:t xml:space="preserve">серию, номер полиса;</w:t>
      </w:r>
    </w:p>
    <w:p>
      <w:pPr>
        <w:pStyle w:val="0"/>
        <w:spacing w:before="240" w:lineRule="auto"/>
        <w:ind w:firstLine="540"/>
        <w:jc w:val="both"/>
      </w:pPr>
      <w:r>
        <w:rPr>
          <w:sz w:val="24"/>
        </w:rPr>
        <w:t xml:space="preserve">наименование страховой медицинской организации;</w:t>
      </w:r>
    </w:p>
    <w:p>
      <w:pPr>
        <w:pStyle w:val="0"/>
        <w:spacing w:before="240" w:lineRule="auto"/>
        <w:ind w:firstLine="540"/>
        <w:jc w:val="both"/>
      </w:pPr>
      <w:r>
        <w:rPr>
          <w:sz w:val="24"/>
        </w:rPr>
        <w:t xml:space="preserve">дату регистрации в качестве застрахованного лица;</w:t>
      </w:r>
    </w:p>
    <w:p>
      <w:pPr>
        <w:pStyle w:val="0"/>
        <w:spacing w:before="240" w:lineRule="auto"/>
        <w:ind w:firstLine="540"/>
        <w:jc w:val="both"/>
      </w:pPr>
      <w:r>
        <w:rPr>
          <w:sz w:val="24"/>
        </w:rPr>
        <w:t xml:space="preserve">7) сведения об оказанной застрахованному лицу медицинской помощи:</w:t>
      </w:r>
    </w:p>
    <w:p>
      <w:pPr>
        <w:pStyle w:val="0"/>
        <w:spacing w:before="240" w:lineRule="auto"/>
        <w:ind w:firstLine="540"/>
        <w:jc w:val="both"/>
      </w:pPr>
      <w:r>
        <w:rPr>
          <w:sz w:val="24"/>
        </w:rPr>
        <w:t xml:space="preserve">вид оказанной медицинской помощи (код);</w:t>
      </w:r>
    </w:p>
    <w:p>
      <w:pPr>
        <w:pStyle w:val="0"/>
        <w:spacing w:before="240" w:lineRule="auto"/>
        <w:ind w:firstLine="540"/>
        <w:jc w:val="both"/>
      </w:pPr>
      <w:r>
        <w:rPr>
          <w:sz w:val="24"/>
        </w:rPr>
        <w:t xml:space="preserve">диагноз в соответствии с МКБ;</w:t>
      </w:r>
    </w:p>
    <w:p>
      <w:pPr>
        <w:pStyle w:val="0"/>
        <w:spacing w:before="240" w:lineRule="auto"/>
        <w:ind w:firstLine="540"/>
        <w:jc w:val="both"/>
      </w:pPr>
      <w:r>
        <w:rPr>
          <w:sz w:val="24"/>
        </w:rPr>
        <w:t xml:space="preserve">дату начала и дату окончания оказания медицинской помощи;</w:t>
      </w:r>
    </w:p>
    <w:p>
      <w:pPr>
        <w:pStyle w:val="0"/>
        <w:spacing w:before="240" w:lineRule="auto"/>
        <w:ind w:firstLine="540"/>
        <w:jc w:val="both"/>
      </w:pPr>
      <w:r>
        <w:rPr>
          <w:sz w:val="24"/>
        </w:rPr>
        <w:t xml:space="preserve">объемы оказанной медицинской помощи;</w:t>
      </w:r>
    </w:p>
    <w:p>
      <w:pPr>
        <w:pStyle w:val="0"/>
        <w:spacing w:before="240" w:lineRule="auto"/>
        <w:ind w:firstLine="540"/>
        <w:jc w:val="both"/>
      </w:pPr>
      <w:r>
        <w:rPr>
          <w:sz w:val="24"/>
        </w:rPr>
        <w:t xml:space="preserve">профиль оказанной медицинской помощи (код);</w:t>
      </w:r>
    </w:p>
    <w:p>
      <w:pPr>
        <w:pStyle w:val="0"/>
        <w:spacing w:before="240" w:lineRule="auto"/>
        <w:ind w:firstLine="540"/>
        <w:jc w:val="both"/>
      </w:pPr>
      <w:r>
        <w:rPr>
          <w:sz w:val="24"/>
        </w:rPr>
        <w:t xml:space="preserve">должность медицинского работника, оказавшего медицинскую помощь (код);</w:t>
      </w:r>
    </w:p>
    <w:p>
      <w:pPr>
        <w:pStyle w:val="0"/>
        <w:spacing w:before="240" w:lineRule="auto"/>
        <w:ind w:firstLine="540"/>
        <w:jc w:val="both"/>
      </w:pPr>
      <w:r>
        <w:rPr>
          <w:sz w:val="24"/>
        </w:rPr>
        <w:t xml:space="preserve">тариф на оплату медицинской помощи, оказанной застрахованному лицу;</w:t>
      </w:r>
    </w:p>
    <w:p>
      <w:pPr>
        <w:pStyle w:val="0"/>
        <w:spacing w:before="240" w:lineRule="auto"/>
        <w:ind w:firstLine="540"/>
        <w:jc w:val="both"/>
      </w:pPr>
      <w:r>
        <w:rPr>
          <w:sz w:val="24"/>
        </w:rPr>
        <w:t xml:space="preserve">стоимость оказанной медицинской помощи;</w:t>
      </w:r>
    </w:p>
    <w:p>
      <w:pPr>
        <w:pStyle w:val="0"/>
        <w:spacing w:before="240" w:lineRule="auto"/>
        <w:ind w:firstLine="540"/>
        <w:jc w:val="both"/>
      </w:pPr>
      <w:r>
        <w:rPr>
          <w:sz w:val="24"/>
        </w:rPr>
        <w:t xml:space="preserve">результат обращения за медицинской помощью (код).</w:t>
      </w:r>
    </w:p>
    <w:p>
      <w:pPr>
        <w:pStyle w:val="0"/>
        <w:spacing w:before="240" w:lineRule="auto"/>
        <w:ind w:firstLine="540"/>
        <w:jc w:val="both"/>
      </w:pPr>
      <w:r>
        <w:rPr>
          <w:sz w:val="24"/>
        </w:rPr>
        <w:t xml:space="preserve">309. Стоимость медицинской помощи рассчитывается на основании тарифов, утвержденных для медицинской организации, находящейся за пределами Российской Федерации, в субъекте Российской Федерации, первым принявшем уведомление о включении в реестр медицинских организаций, и объемов оказанной медицинской помощи в рублях по курсу Центрального банка Российской Федерации на дату выставления счета.</w:t>
      </w:r>
    </w:p>
    <w:p>
      <w:pPr>
        <w:pStyle w:val="0"/>
        <w:spacing w:before="240" w:lineRule="auto"/>
        <w:ind w:firstLine="540"/>
        <w:jc w:val="both"/>
      </w:pPr>
      <w:r>
        <w:rPr>
          <w:sz w:val="24"/>
        </w:rPr>
        <w:t xml:space="preserve">310. Территориальный фонд по месту страхования осуществляет контроль объемов, сроков, качества и условий оказанной медицинской помощи путем организации проведения медико-экономического контроля, медико-экономической экспертизы и экспертизы качества медицинской помощи в соответствии с порядком проведения контроля.</w:t>
      </w:r>
    </w:p>
    <w:p>
      <w:pPr>
        <w:pStyle w:val="0"/>
        <w:spacing w:before="240" w:lineRule="auto"/>
        <w:ind w:firstLine="540"/>
        <w:jc w:val="both"/>
      </w:pPr>
      <w:r>
        <w:rPr>
          <w:sz w:val="24"/>
        </w:rPr>
        <w:t xml:space="preserve">311. Территориальный фонд по месту страхования в течение десяти рабочих дней с даты получения счета в электронном виде проводит медико-экономический контроль предъявленного медицинской организацией, находящейся за пределами Российской Федерации, счета и реестра и, при отсутствии причин, требующих дополнительного рассмотрения реестра, осуществляет оплату оказанной медицинской помощи.</w:t>
      </w:r>
    </w:p>
    <w:p>
      <w:pPr>
        <w:pStyle w:val="0"/>
        <w:spacing w:before="240" w:lineRule="auto"/>
        <w:ind w:firstLine="540"/>
        <w:jc w:val="both"/>
      </w:pPr>
      <w:r>
        <w:rPr>
          <w:sz w:val="24"/>
        </w:rPr>
        <w:t xml:space="preserve">312. При наличии причин, требующих дополнительного рассмотрения реестра, территориальный фонд по месту страхования застрахованного лица организует и проводит медико-экономическую экспертизу и/или экспертизу качества медицинской помощи.</w:t>
      </w:r>
    </w:p>
    <w:p>
      <w:pPr>
        <w:pStyle w:val="0"/>
        <w:spacing w:before="240" w:lineRule="auto"/>
        <w:ind w:firstLine="540"/>
        <w:jc w:val="both"/>
      </w:pPr>
      <w:r>
        <w:rPr>
          <w:sz w:val="24"/>
        </w:rPr>
        <w:t xml:space="preserve">313. По результатам контроля объемов, сроков, качества и условий предоставления медицинской помощи в соответствии с </w:t>
      </w:r>
      <w:hyperlink w:history="0" r:id="rId246" w:tooltip="Федеральный закон от 29.11.2010 N 326-ФЗ (ред. от 20.02.2026) &quot;Об обязательном медицинском страховании в Российской Федерации&quot; {КонсультантПлюс}">
        <w:r>
          <w:rPr>
            <w:sz w:val="24"/>
            <w:color w:val="0000ff"/>
          </w:rPr>
          <w:t xml:space="preserve">пунктом 10 статьи 40</w:t>
        </w:r>
      </w:hyperlink>
      <w:r>
        <w:rPr>
          <w:sz w:val="24"/>
        </w:rPr>
        <w:t xml:space="preserve"> Федерального закона применяются меры, предусмотренные </w:t>
      </w:r>
      <w:hyperlink w:history="0" r:id="rId247" w:tooltip="Федеральный закон от 29.11.2010 N 326-ФЗ (ред. от 20.02.2026) &quot;Об обязательном медицинском страховании в Российской Федерации&quot; {КонсультантПлюс}">
        <w:r>
          <w:rPr>
            <w:sz w:val="24"/>
            <w:color w:val="0000ff"/>
          </w:rPr>
          <w:t xml:space="preserve">статьей 41</w:t>
        </w:r>
      </w:hyperlink>
      <w:r>
        <w:rPr>
          <w:sz w:val="24"/>
        </w:rPr>
        <w:t xml:space="preserve"> Федерального закона и условиями договора на оказание и оплату медицинской помощи.</w:t>
      </w:r>
    </w:p>
    <w:p>
      <w:pPr>
        <w:pStyle w:val="0"/>
        <w:spacing w:before="240" w:lineRule="auto"/>
        <w:ind w:firstLine="540"/>
        <w:jc w:val="both"/>
      </w:pPr>
      <w:r>
        <w:rPr>
          <w:sz w:val="24"/>
        </w:rPr>
        <w:t xml:space="preserve">314. Территориальный фонд по месту страхования в течение двадцати пяти рабочих дней с даты получения счета в электронном виде осуществляет оплату медицинской помощи с учетом результатов проведенного контроля объемов, сроков, качества и условий предоставления медицинской помощи по обязательному медицинскому страхованию по тарифам и способам оплаты медицинской помощи на дату завершения случая оказания медицинской помощи, за счет средств нормированного страхового запаса территориального фонда и направляет в медицинскую организацию, находящуюся за пределами Российской Федерации, соответствующее извещение об оплате, в котором указываются позиции реестра, не принятые к оплате или частично оплаченные, а также сведения о результатах проведенного контроля и экспертиз.</w:t>
      </w:r>
    </w:p>
    <w:p>
      <w:pPr>
        <w:pStyle w:val="0"/>
        <w:spacing w:before="240" w:lineRule="auto"/>
        <w:ind w:firstLine="540"/>
        <w:jc w:val="both"/>
      </w:pPr>
      <w:r>
        <w:rPr>
          <w:sz w:val="24"/>
        </w:rPr>
        <w:t xml:space="preserve">315. Сверка расчетов по счетам проводится ежегодно перед составлением годовой бухгалтерской отчетности за период с 1 октября предыдущего отчетного года по 30 сентября отчетного года включительно (далее - отчетный период) с оформлением акта сверки расчетов за медицинскую помощь, который должен содержать следующие сведения:</w:t>
      </w:r>
    </w:p>
    <w:p>
      <w:pPr>
        <w:pStyle w:val="0"/>
        <w:spacing w:before="240" w:lineRule="auto"/>
        <w:ind w:firstLine="540"/>
        <w:jc w:val="both"/>
      </w:pPr>
      <w:r>
        <w:rPr>
          <w:sz w:val="24"/>
        </w:rPr>
        <w:t xml:space="preserve">1) сальдо на начало отчетного периода с указанием номера, даты счета и суммы;</w:t>
      </w:r>
    </w:p>
    <w:p>
      <w:pPr>
        <w:pStyle w:val="0"/>
        <w:spacing w:before="240" w:lineRule="auto"/>
        <w:ind w:firstLine="540"/>
        <w:jc w:val="both"/>
      </w:pPr>
      <w:r>
        <w:rPr>
          <w:sz w:val="24"/>
        </w:rPr>
        <w:t xml:space="preserve">2) номер, дату счета;</w:t>
      </w:r>
    </w:p>
    <w:p>
      <w:pPr>
        <w:pStyle w:val="0"/>
        <w:spacing w:before="240" w:lineRule="auto"/>
        <w:ind w:firstLine="540"/>
        <w:jc w:val="both"/>
      </w:pPr>
      <w:r>
        <w:rPr>
          <w:sz w:val="24"/>
        </w:rPr>
        <w:t xml:space="preserve">3) суммы счетов, предъявленных к оплате, оплаченных и отказанных в оплате;</w:t>
      </w:r>
    </w:p>
    <w:p>
      <w:pPr>
        <w:pStyle w:val="0"/>
        <w:spacing w:before="240" w:lineRule="auto"/>
        <w:ind w:firstLine="540"/>
        <w:jc w:val="both"/>
      </w:pPr>
      <w:r>
        <w:rPr>
          <w:sz w:val="24"/>
        </w:rPr>
        <w:t xml:space="preserve">4) сальдо на конец отчетного периода с указанием номера, даты счета и суммы.</w:t>
      </w:r>
    </w:p>
    <w:p>
      <w:pPr>
        <w:pStyle w:val="0"/>
        <w:spacing w:before="240" w:lineRule="auto"/>
        <w:ind w:firstLine="540"/>
        <w:jc w:val="both"/>
      </w:pPr>
      <w:r>
        <w:rPr>
          <w:sz w:val="24"/>
        </w:rPr>
        <w:t xml:space="preserve">316. Территориальный фонд по месту страхования составляет акт сверки счетов, выставленных к оплате медицинской организацией, находящейся за пределами Российской Федерации, в двух экземплярах и направляет их до 15 ноября отчетного года в указанную медицинскую организацию.</w:t>
      </w:r>
    </w:p>
    <w:p>
      <w:pPr>
        <w:pStyle w:val="0"/>
        <w:spacing w:before="240" w:lineRule="auto"/>
        <w:ind w:firstLine="540"/>
        <w:jc w:val="both"/>
      </w:pPr>
      <w:r>
        <w:rPr>
          <w:sz w:val="24"/>
        </w:rPr>
        <w:t xml:space="preserve">317. Медицинская организация, находящаяся за пределами Российской Федерации, получившая акт сверки счетов, производит сверку данных и один экземпляр акта сверки в срок до 15 декабря отчетного года направляет в территориальный фонд по месту страхования застрахованного лица.</w:t>
      </w:r>
    </w:p>
    <w:p>
      <w:pPr>
        <w:pStyle w:val="0"/>
        <w:spacing w:before="240" w:lineRule="auto"/>
        <w:ind w:firstLine="540"/>
        <w:jc w:val="both"/>
      </w:pPr>
      <w:r>
        <w:rPr>
          <w:sz w:val="24"/>
        </w:rPr>
        <w:t xml:space="preserve">318. Обмен данными при осуществлении расчетов за медицинскую помощь, оказанную застрахованным лицам за пределами субъекта Российской Федерации, на территории которого они застрахованы, производится в электронном виде в соответствии с порядком ведения персонифицированного учета.</w:t>
      </w:r>
    </w:p>
    <w:p>
      <w:pPr>
        <w:pStyle w:val="0"/>
        <w:spacing w:before="240" w:lineRule="auto"/>
        <w:ind w:firstLine="540"/>
        <w:jc w:val="both"/>
      </w:pPr>
      <w:r>
        <w:rPr>
          <w:sz w:val="24"/>
        </w:rPr>
        <w:t xml:space="preserve">319. При технической невозможности осуществления обмена данными в электронном виде с соблюдением указанных требований усиленной квалифицированной электронной подписи подлинность сведений, представленных в электронном виде, должна подтверждаться документом на бумажном носителе.</w:t>
      </w:r>
    </w:p>
    <w:p>
      <w:pPr>
        <w:pStyle w:val="0"/>
        <w:spacing w:before="240" w:lineRule="auto"/>
        <w:ind w:firstLine="540"/>
        <w:jc w:val="both"/>
      </w:pPr>
      <w:r>
        <w:rPr>
          <w:sz w:val="24"/>
        </w:rPr>
        <w:t xml:space="preserve">320. Медицинская организация, находящаяся за пределами Российской Федерации, представляет отчетность о деятельности в сфере обязательного медицинского страхования в территориальный фонд, в реестр медицинских организаций которого она включена.</w:t>
      </w:r>
    </w:p>
    <w:p>
      <w:pPr>
        <w:pStyle w:val="0"/>
        <w:jc w:val="both"/>
      </w:pPr>
      <w:r>
        <w:rPr>
          <w:sz w:val="24"/>
        </w:rPr>
      </w:r>
    </w:p>
    <w:p>
      <w:pPr>
        <w:pStyle w:val="2"/>
        <w:outlineLvl w:val="1"/>
        <w:jc w:val="center"/>
      </w:pPr>
      <w:r>
        <w:rPr>
          <w:sz w:val="24"/>
        </w:rPr>
        <w:t xml:space="preserve">XIV. Требования к размещению страховыми медицинскими</w:t>
      </w:r>
    </w:p>
    <w:p>
      <w:pPr>
        <w:pStyle w:val="2"/>
        <w:jc w:val="center"/>
      </w:pPr>
      <w:r>
        <w:rPr>
          <w:sz w:val="24"/>
        </w:rPr>
        <w:t xml:space="preserve">организациями информации</w:t>
      </w:r>
    </w:p>
    <w:p>
      <w:pPr>
        <w:pStyle w:val="0"/>
        <w:jc w:val="both"/>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До 31.12.2026 не применяются санкции за не опубликование информации в части состава учредителей, руководителей страховых медицинских организаций, а также в части финансовых результатов деятельности (</w:t>
            </w:r>
            <w:hyperlink w:history="0" r:id="rId248" w:tooltip="&lt;Письмо&gt; Минздрава России от 21.01.2026 N 31-1/И/2-675, ФФОМС от 14.01.2026 N 00-10-30-3-06/207 &lt;О раскрытии информации страховыми медицинскими организациями&gt; {КонсультантПлюс}">
              <w:r>
                <w:rPr>
                  <w:sz w:val="24"/>
                  <w:color w:val="0000ff"/>
                </w:rPr>
                <w:t xml:space="preserve">Письмо</w:t>
              </w:r>
            </w:hyperlink>
            <w:r>
              <w:rPr>
                <w:sz w:val="24"/>
                <w:color w:val="392c69"/>
              </w:rPr>
              <w:t xml:space="preserve"> Минздрава России от 21.01.2026 N 31-1/И/2-675, ФФОМС от 14.01.2026 N 00-10-30-3-06/207).</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1367" w:name="P1367"/>
    <w:bookmarkEnd w:id="1367"/>
    <w:p>
      <w:pPr>
        <w:pStyle w:val="0"/>
        <w:spacing w:before="300" w:lineRule="auto"/>
        <w:ind w:firstLine="540"/>
        <w:jc w:val="both"/>
      </w:pPr>
      <w:r>
        <w:rPr>
          <w:sz w:val="24"/>
        </w:rPr>
        <w:t xml:space="preserve">321. Страховые медицинские организации размещают на собственных официальных сайтах в информационно-телекоммуникационной сети "Интернет", опубликовывают в средствах массовой информации или доводят до сведения застрахованных лиц иными предусмотренными законодательством Российской Федерации способами следующую информацию:</w:t>
      </w:r>
    </w:p>
    <w:p>
      <w:pPr>
        <w:pStyle w:val="0"/>
        <w:spacing w:before="240" w:lineRule="auto"/>
        <w:ind w:firstLine="540"/>
        <w:jc w:val="both"/>
      </w:pPr>
      <w:r>
        <w:rPr>
          <w:sz w:val="24"/>
        </w:rPr>
        <w:t xml:space="preserve">1) о деятельности в сфере обязательного медицинского страхования;</w:t>
      </w:r>
    </w:p>
    <w:p>
      <w:pPr>
        <w:pStyle w:val="0"/>
        <w:spacing w:before="240" w:lineRule="auto"/>
        <w:ind w:firstLine="540"/>
        <w:jc w:val="both"/>
      </w:pPr>
      <w:r>
        <w:rPr>
          <w:sz w:val="24"/>
        </w:rPr>
        <w:t xml:space="preserve">2) о составе учредителей (участников, акционеров);</w:t>
      </w:r>
    </w:p>
    <w:p>
      <w:pPr>
        <w:pStyle w:val="0"/>
        <w:spacing w:before="240" w:lineRule="auto"/>
        <w:ind w:firstLine="540"/>
        <w:jc w:val="both"/>
      </w:pPr>
      <w:r>
        <w:rPr>
          <w:sz w:val="24"/>
        </w:rPr>
        <w:t xml:space="preserve">3) о финансовых результатах деятельности;</w:t>
      </w:r>
    </w:p>
    <w:p>
      <w:pPr>
        <w:pStyle w:val="0"/>
        <w:spacing w:before="240" w:lineRule="auto"/>
        <w:ind w:firstLine="540"/>
        <w:jc w:val="both"/>
      </w:pPr>
      <w:r>
        <w:rPr>
          <w:sz w:val="24"/>
        </w:rPr>
        <w:t xml:space="preserve">4) об опыте работы;</w:t>
      </w:r>
    </w:p>
    <w:p>
      <w:pPr>
        <w:pStyle w:val="0"/>
        <w:spacing w:before="240" w:lineRule="auto"/>
        <w:ind w:firstLine="540"/>
        <w:jc w:val="both"/>
      </w:pPr>
      <w:r>
        <w:rPr>
          <w:sz w:val="24"/>
        </w:rPr>
        <w:t xml:space="preserve">5) о количестве застрахованных лиц (всего, в том числе в субъектах Российской Федерации на начало текущего года);</w:t>
      </w:r>
    </w:p>
    <w:p>
      <w:pPr>
        <w:pStyle w:val="0"/>
        <w:spacing w:before="240" w:lineRule="auto"/>
        <w:ind w:firstLine="540"/>
        <w:jc w:val="both"/>
      </w:pPr>
      <w:r>
        <w:rPr>
          <w:sz w:val="24"/>
        </w:rPr>
        <w:t xml:space="preserve">6) о медицинских организациях, осуществляющих деятельность в сфере обязательного медицинского страхования на территории субъекта Российской Федерации;</w:t>
      </w:r>
    </w:p>
    <w:p>
      <w:pPr>
        <w:pStyle w:val="0"/>
        <w:spacing w:before="240" w:lineRule="auto"/>
        <w:ind w:firstLine="540"/>
        <w:jc w:val="both"/>
      </w:pPr>
      <w:r>
        <w:rPr>
          <w:sz w:val="24"/>
        </w:rPr>
        <w:t xml:space="preserve">7) о видах, качестве и об условиях предоставления медицинской помощи;</w:t>
      </w:r>
    </w:p>
    <w:p>
      <w:pPr>
        <w:pStyle w:val="0"/>
        <w:spacing w:before="240" w:lineRule="auto"/>
        <w:ind w:firstLine="540"/>
        <w:jc w:val="both"/>
      </w:pPr>
      <w:r>
        <w:rPr>
          <w:sz w:val="24"/>
        </w:rPr>
        <w:t xml:space="preserve">8) о выявленных по обращениям застрахованных лиц нарушениях при предоставлении медицинской помощи;</w:t>
      </w:r>
    </w:p>
    <w:p>
      <w:pPr>
        <w:pStyle w:val="0"/>
        <w:spacing w:before="240" w:lineRule="auto"/>
        <w:ind w:firstLine="540"/>
        <w:jc w:val="both"/>
      </w:pPr>
      <w:r>
        <w:rPr>
          <w:sz w:val="24"/>
        </w:rPr>
        <w:t xml:space="preserve">9) о правах граждан в сфере обязательного медицинского страхования, в том числе праве выбора или замены страховой медицинской организации, медицинской организации;</w:t>
      </w:r>
    </w:p>
    <w:p>
      <w:pPr>
        <w:pStyle w:val="0"/>
        <w:spacing w:before="240" w:lineRule="auto"/>
        <w:ind w:firstLine="540"/>
        <w:jc w:val="both"/>
      </w:pPr>
      <w:r>
        <w:rPr>
          <w:sz w:val="24"/>
        </w:rPr>
        <w:t xml:space="preserve">10) о порядке получения полиса обязательного медицинского страхования;</w:t>
      </w:r>
    </w:p>
    <w:p>
      <w:pPr>
        <w:pStyle w:val="0"/>
        <w:spacing w:before="240" w:lineRule="auto"/>
        <w:ind w:firstLine="540"/>
        <w:jc w:val="both"/>
      </w:pPr>
      <w:r>
        <w:rPr>
          <w:sz w:val="24"/>
        </w:rPr>
        <w:t xml:space="preserve">11) об обязанностях застрахованных лиц в соответствии с Федеральным </w:t>
      </w:r>
      <w:hyperlink w:history="0" r:id="rId249" w:tooltip="Федеральный закон от 29.11.2010 N 326-ФЗ (ред. от 20.02.2026) &quot;Об обязательном медицинском страховании в Российской Федерации&quot; {КонсультантПлюс}">
        <w:r>
          <w:rPr>
            <w:sz w:val="24"/>
            <w:color w:val="0000ff"/>
          </w:rPr>
          <w:t xml:space="preserve">законом</w:t>
        </w:r>
      </w:hyperlink>
      <w:r>
        <w:rPr>
          <w:sz w:val="24"/>
        </w:rPr>
        <w:t xml:space="preserve"> &lt;23&gt;;</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&lt;23&gt; </w:t>
      </w:r>
      <w:hyperlink w:history="0" r:id="rId250" w:tooltip="Федеральный закон от 29.11.2010 N 326-ФЗ (ред. от 20.02.2026) &quot;Об обязательном медицинском страховании в Российской Федерации&quot; {КонсультантПлюс}">
        <w:r>
          <w:rPr>
            <w:sz w:val="24"/>
            <w:color w:val="0000ff"/>
          </w:rPr>
          <w:t xml:space="preserve">Пункт 9 статьи 14</w:t>
        </w:r>
      </w:hyperlink>
      <w:r>
        <w:rPr>
          <w:sz w:val="24"/>
        </w:rPr>
        <w:t xml:space="preserve"> Федерального закона.</w:t>
      </w:r>
    </w:p>
    <w:p>
      <w:pPr>
        <w:pStyle w:val="0"/>
        <w:jc w:val="both"/>
      </w:pPr>
      <w:r>
        <w:rPr>
          <w:sz w:val="24"/>
        </w:rPr>
      </w:r>
    </w:p>
    <w:p>
      <w:pPr>
        <w:pStyle w:val="0"/>
        <w:ind w:firstLine="540"/>
        <w:jc w:val="both"/>
      </w:pPr>
      <w:r>
        <w:rPr>
          <w:sz w:val="24"/>
        </w:rPr>
        <w:t xml:space="preserve">12) о выявленных нарушениях в медицинских организациях при оказании медицинской помощи, в том числе:</w:t>
      </w:r>
    </w:p>
    <w:p>
      <w:pPr>
        <w:pStyle w:val="0"/>
        <w:spacing w:before="240" w:lineRule="auto"/>
        <w:ind w:firstLine="540"/>
        <w:jc w:val="both"/>
      </w:pPr>
      <w:r>
        <w:rPr>
          <w:sz w:val="24"/>
        </w:rPr>
        <w:t xml:space="preserve">прав застрахованных лиц на выбор медицинской организации и врача;</w:t>
      </w:r>
    </w:p>
    <w:p>
      <w:pPr>
        <w:pStyle w:val="0"/>
        <w:spacing w:before="240" w:lineRule="auto"/>
        <w:ind w:firstLine="540"/>
        <w:jc w:val="both"/>
      </w:pPr>
      <w:r>
        <w:rPr>
          <w:sz w:val="24"/>
        </w:rPr>
        <w:t xml:space="preserve">организации работы медицинской организации;</w:t>
      </w:r>
    </w:p>
    <w:p>
      <w:pPr>
        <w:pStyle w:val="0"/>
        <w:spacing w:before="240" w:lineRule="auto"/>
        <w:ind w:firstLine="540"/>
        <w:jc w:val="both"/>
      </w:pPr>
      <w:r>
        <w:rPr>
          <w:sz w:val="24"/>
        </w:rPr>
        <w:t xml:space="preserve">качества медицинской помощи;</w:t>
      </w:r>
    </w:p>
    <w:p>
      <w:pPr>
        <w:pStyle w:val="0"/>
        <w:spacing w:before="240" w:lineRule="auto"/>
        <w:ind w:firstLine="540"/>
        <w:jc w:val="both"/>
      </w:pPr>
      <w:r>
        <w:rPr>
          <w:sz w:val="24"/>
        </w:rPr>
        <w:t xml:space="preserve">лекарственного обеспечения;</w:t>
      </w:r>
    </w:p>
    <w:p>
      <w:pPr>
        <w:pStyle w:val="0"/>
        <w:spacing w:before="240" w:lineRule="auto"/>
        <w:ind w:firstLine="540"/>
        <w:jc w:val="both"/>
      </w:pPr>
      <w:r>
        <w:rPr>
          <w:sz w:val="24"/>
        </w:rPr>
        <w:t xml:space="preserve">в части взимания с застрахованных лиц платы за медицинскую помощь, включенную в программу обязательного медицинского страхования;</w:t>
      </w:r>
    </w:p>
    <w:p>
      <w:pPr>
        <w:pStyle w:val="0"/>
        <w:spacing w:before="240" w:lineRule="auto"/>
        <w:ind w:firstLine="540"/>
        <w:jc w:val="both"/>
      </w:pPr>
      <w:r>
        <w:rPr>
          <w:sz w:val="24"/>
        </w:rPr>
        <w:t xml:space="preserve">отказ в оказании медицинской помощи, включенной в программу обязательного медицинского страхования;</w:t>
      </w:r>
    </w:p>
    <w:p>
      <w:pPr>
        <w:pStyle w:val="0"/>
        <w:spacing w:before="240" w:lineRule="auto"/>
        <w:ind w:firstLine="540"/>
        <w:jc w:val="both"/>
      </w:pPr>
      <w:r>
        <w:rPr>
          <w:sz w:val="24"/>
        </w:rPr>
        <w:t xml:space="preserve">13) форму заявления о включении в единый регистр застрахованных лиц;</w:t>
      </w:r>
    </w:p>
    <w:p>
      <w:pPr>
        <w:pStyle w:val="0"/>
        <w:spacing w:before="240" w:lineRule="auto"/>
        <w:ind w:firstLine="540"/>
        <w:jc w:val="both"/>
      </w:pPr>
      <w:r>
        <w:rPr>
          <w:sz w:val="24"/>
        </w:rPr>
        <w:t xml:space="preserve">форму заявления о выборе (замене) страховой медицинской организации;</w:t>
      </w:r>
    </w:p>
    <w:p>
      <w:pPr>
        <w:pStyle w:val="0"/>
        <w:spacing w:before="240" w:lineRule="auto"/>
        <w:ind w:firstLine="540"/>
        <w:jc w:val="both"/>
      </w:pPr>
      <w:r>
        <w:rPr>
          <w:sz w:val="24"/>
        </w:rPr>
        <w:t xml:space="preserve">форму запроса о предоставлении выписки о полисе;</w:t>
      </w:r>
    </w:p>
    <w:p>
      <w:pPr>
        <w:pStyle w:val="0"/>
        <w:spacing w:before="240" w:lineRule="auto"/>
        <w:ind w:firstLine="540"/>
        <w:jc w:val="both"/>
      </w:pPr>
      <w:r>
        <w:rPr>
          <w:sz w:val="24"/>
        </w:rPr>
        <w:t xml:space="preserve">форму заявления о сдаче (утрате) полиса на материальном носителе;</w:t>
      </w:r>
    </w:p>
    <w:p>
      <w:pPr>
        <w:pStyle w:val="0"/>
        <w:spacing w:before="240" w:lineRule="auto"/>
        <w:ind w:firstLine="540"/>
        <w:jc w:val="both"/>
      </w:pPr>
      <w:r>
        <w:rPr>
          <w:sz w:val="24"/>
        </w:rPr>
        <w:t xml:space="preserve">адреса и режим работы пунктов выдачи полисов;</w:t>
      </w:r>
    </w:p>
    <w:p>
      <w:pPr>
        <w:pStyle w:val="0"/>
        <w:spacing w:before="240" w:lineRule="auto"/>
        <w:ind w:firstLine="540"/>
        <w:jc w:val="both"/>
      </w:pPr>
      <w:r>
        <w:rPr>
          <w:sz w:val="24"/>
        </w:rPr>
        <w:t xml:space="preserve">способы подачи заявлений и запроса;</w:t>
      </w:r>
    </w:p>
    <w:p>
      <w:pPr>
        <w:pStyle w:val="0"/>
        <w:spacing w:before="240" w:lineRule="auto"/>
        <w:ind w:firstLine="540"/>
        <w:jc w:val="both"/>
      </w:pPr>
      <w:r>
        <w:rPr>
          <w:sz w:val="24"/>
        </w:rPr>
        <w:t xml:space="preserve">перечень документов, необходимых для подачи заявлений и запроса;</w:t>
      </w:r>
    </w:p>
    <w:p>
      <w:pPr>
        <w:pStyle w:val="0"/>
        <w:spacing w:before="240" w:lineRule="auto"/>
        <w:ind w:firstLine="540"/>
        <w:jc w:val="both"/>
      </w:pPr>
      <w:r>
        <w:rPr>
          <w:sz w:val="24"/>
        </w:rPr>
        <w:t xml:space="preserve">порядок обжалования решений, действий или бездействия работников при подаче заявлений и запроса;</w:t>
      </w:r>
    </w:p>
    <w:p>
      <w:pPr>
        <w:pStyle w:val="0"/>
        <w:spacing w:before="240" w:lineRule="auto"/>
        <w:ind w:firstLine="540"/>
        <w:jc w:val="both"/>
      </w:pPr>
      <w:r>
        <w:rPr>
          <w:sz w:val="24"/>
        </w:rPr>
        <w:t xml:space="preserve">14) адреса официальных сайтов страховых медицинских организаций, осуществляющих деятельность в сфере обязательного медицинского страхования субъекта Российской Федерации;</w:t>
      </w:r>
    </w:p>
    <w:p>
      <w:pPr>
        <w:pStyle w:val="0"/>
        <w:spacing w:before="240" w:lineRule="auto"/>
        <w:ind w:firstLine="540"/>
        <w:jc w:val="both"/>
      </w:pPr>
      <w:r>
        <w:rPr>
          <w:sz w:val="24"/>
        </w:rPr>
        <w:t xml:space="preserve">15) номера телефонов и адреса электронной почты справочной службы страховой медицинской организации, участвующей в сфере обязательного медицинского страхования субъекта Российской Федерации;</w:t>
      </w:r>
    </w:p>
    <w:p>
      <w:pPr>
        <w:pStyle w:val="0"/>
        <w:spacing w:before="240" w:lineRule="auto"/>
        <w:ind w:firstLine="540"/>
        <w:jc w:val="both"/>
      </w:pPr>
      <w:r>
        <w:rPr>
          <w:sz w:val="24"/>
        </w:rPr>
        <w:t xml:space="preserve">16) номера телефонов и адреса электронной почты подразделений по организации защиты прав застрахованных лиц страховых медицинских организаций, участвующих в сфере обязательного медицинского страхования на территории субъекта Российской Федерации и территориального фонда;</w:t>
      </w:r>
    </w:p>
    <w:p>
      <w:pPr>
        <w:pStyle w:val="0"/>
        <w:spacing w:before="240" w:lineRule="auto"/>
        <w:ind w:firstLine="540"/>
        <w:jc w:val="both"/>
      </w:pPr>
      <w:r>
        <w:rPr>
          <w:sz w:val="24"/>
        </w:rPr>
        <w:t xml:space="preserve">17) информацию, размещенную органом исполнительной власти субъекта Российской Федерации в сфере охраны здоровья на официальном сайте в сети "Интернет":</w:t>
      </w:r>
    </w:p>
    <w:p>
      <w:pPr>
        <w:pStyle w:val="0"/>
        <w:spacing w:before="240" w:lineRule="auto"/>
        <w:ind w:firstLine="540"/>
        <w:jc w:val="both"/>
      </w:pPr>
      <w:r>
        <w:rPr>
          <w:sz w:val="24"/>
        </w:rPr>
        <w:t xml:space="preserve">о медицинских организациях, в которых граждане могут пройти профилактические медицинские осмотры, включая диспансеризацию &lt;24&gt;;</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&lt;24&gt; </w:t>
      </w:r>
      <w:hyperlink w:history="0" r:id="rId251" w:tooltip="Федеральный закон от 21.11.2011 N 323-ФЗ (ред. от 29.12.2025) &quot;Об основах охраны здоровья граждан в Российской Федерации&quot; (с изм. и доп., вступ. в силу с 01.04.2026) {КонсультантПлюс}">
        <w:r>
          <w:rPr>
            <w:sz w:val="24"/>
            <w:color w:val="0000ff"/>
          </w:rPr>
          <w:t xml:space="preserve">Статья 46</w:t>
        </w:r>
      </w:hyperlink>
      <w:r>
        <w:rPr>
          <w:sz w:val="24"/>
        </w:rPr>
        <w:t xml:space="preserve"> Федерального закона N 323-ФЗ.</w:t>
      </w:r>
    </w:p>
    <w:p>
      <w:pPr>
        <w:pStyle w:val="0"/>
        <w:jc w:val="both"/>
      </w:pPr>
      <w:r>
        <w:rPr>
          <w:sz w:val="24"/>
        </w:rPr>
      </w:r>
    </w:p>
    <w:p>
      <w:pPr>
        <w:pStyle w:val="0"/>
        <w:ind w:firstLine="540"/>
        <w:jc w:val="both"/>
      </w:pPr>
      <w:r>
        <w:rPr>
          <w:sz w:val="24"/>
        </w:rPr>
        <w:t xml:space="preserve">о возможности прохождения профилактических медицинских осмотров, включая диспансеризацию, в том числе в вечерние часы и в субботу;</w:t>
      </w:r>
    </w:p>
    <w:p>
      <w:pPr>
        <w:pStyle w:val="0"/>
        <w:spacing w:before="240" w:lineRule="auto"/>
        <w:ind w:firstLine="540"/>
        <w:jc w:val="both"/>
      </w:pPr>
      <w:r>
        <w:rPr>
          <w:sz w:val="24"/>
        </w:rPr>
        <w:t xml:space="preserve">о возможности дистанционной записи на медицинские исследования;</w:t>
      </w:r>
    </w:p>
    <w:p>
      <w:pPr>
        <w:pStyle w:val="0"/>
        <w:spacing w:before="240" w:lineRule="auto"/>
        <w:ind w:firstLine="540"/>
        <w:jc w:val="both"/>
      </w:pPr>
      <w:r>
        <w:rPr>
          <w:sz w:val="24"/>
        </w:rPr>
        <w:t xml:space="preserve">18) сведения о представителях страховой медицинской организации, фактически осуществляющих сопровождение, включая информационное сопровождение (в том числе индивидуальное) застрахованных лиц, а также защиту прав и законных интересов застрахованных лиц, работающих по трудовому договору, гражданско-правовому договору, договорам аутсорсинга;</w:t>
      </w:r>
    </w:p>
    <w:p>
      <w:pPr>
        <w:pStyle w:val="0"/>
        <w:spacing w:before="240" w:lineRule="auto"/>
        <w:ind w:firstLine="540"/>
        <w:jc w:val="both"/>
      </w:pPr>
      <w:r>
        <w:rPr>
          <w:sz w:val="24"/>
        </w:rPr>
        <w:t xml:space="preserve">19) номер (номера) телефона (телефонов) и адрес (адреса) электронной почты страховой медицинской организации, обеспечивающие круглосуточную доступность для обращений застрахованных лиц к представителям страховой медицинской организации, осуществляющим сопровождение, включая информационное сопровождение (в том числе индивидуальное), а также защиту прав и законных интересов застрахованных лиц, участвующих в реализации обязательного медицинского страхования на территории субъекта Российской Федерации и территориального фонда;</w:t>
      </w:r>
    </w:p>
    <w:p>
      <w:pPr>
        <w:pStyle w:val="0"/>
        <w:spacing w:before="240" w:lineRule="auto"/>
        <w:ind w:firstLine="540"/>
        <w:jc w:val="both"/>
      </w:pPr>
      <w:r>
        <w:rPr>
          <w:sz w:val="24"/>
        </w:rPr>
        <w:t xml:space="preserve">20) порядок сопровождения застрахованных лиц на всей территории Российской Федерации &lt;25&gt; в соответствии с </w:t>
      </w:r>
      <w:hyperlink w:history="0" w:anchor="P1441" w:tooltip="XVI. Сопровождение страховыми медицинскими организациями">
        <w:r>
          <w:rPr>
            <w:sz w:val="24"/>
            <w:color w:val="0000ff"/>
          </w:rPr>
          <w:t xml:space="preserve">главой XVI</w:t>
        </w:r>
      </w:hyperlink>
      <w:r>
        <w:rPr>
          <w:sz w:val="24"/>
        </w:rPr>
        <w:t xml:space="preserve"> настоящих Правил;</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&lt;25&gt; </w:t>
      </w:r>
      <w:hyperlink w:history="0" r:id="rId252" w:tooltip="Федеральный закон от 29.11.2010 N 326-ФЗ (ред. от 20.02.2026) &quot;Об обязательном медицинском страховании в Российской Федерации&quot; {КонсультантПлюс}">
        <w:r>
          <w:rPr>
            <w:sz w:val="24"/>
            <w:color w:val="0000ff"/>
          </w:rPr>
          <w:t xml:space="preserve">Часть 9.2 статьи 14</w:t>
        </w:r>
      </w:hyperlink>
      <w:r>
        <w:rPr>
          <w:sz w:val="24"/>
        </w:rPr>
        <w:t xml:space="preserve"> Федерального закона.</w:t>
      </w:r>
    </w:p>
    <w:p>
      <w:pPr>
        <w:pStyle w:val="0"/>
        <w:jc w:val="both"/>
      </w:pPr>
      <w:r>
        <w:rPr>
          <w:sz w:val="24"/>
        </w:rPr>
      </w:r>
    </w:p>
    <w:p>
      <w:pPr>
        <w:pStyle w:val="0"/>
        <w:ind w:firstLine="540"/>
        <w:jc w:val="both"/>
      </w:pPr>
      <w:r>
        <w:rPr>
          <w:sz w:val="24"/>
        </w:rPr>
        <w:t xml:space="preserve">21) порядок оказания помощи застрахованным лицам в предъявлении претензий к медицинским организациям в связи с отказом в оказании медицинской помощи или некачественным оказанием медицинской помощи и взиманием денежных средств за оказание медицинской помощи путем предоставления им консультаций &lt;26&gt;.</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&lt;26&gt; </w:t>
      </w:r>
      <w:hyperlink w:history="0" r:id="rId253" w:tooltip="Федеральный закон от 29.11.2010 N 326-ФЗ (ред. от 20.02.2026) &quot;Об обязательном медицинском страховании в Российской Федерации&quot; {КонсультантПлюс}">
        <w:r>
          <w:rPr>
            <w:sz w:val="24"/>
            <w:color w:val="0000ff"/>
          </w:rPr>
          <w:t xml:space="preserve">Пункт 2 части 9.3 статьи 14</w:t>
        </w:r>
      </w:hyperlink>
      <w:r>
        <w:rPr>
          <w:sz w:val="24"/>
        </w:rPr>
        <w:t xml:space="preserve"> Федерального закона.</w:t>
      </w:r>
    </w:p>
    <w:p>
      <w:pPr>
        <w:pStyle w:val="0"/>
        <w:jc w:val="both"/>
      </w:pPr>
      <w:r>
        <w:rPr>
          <w:sz w:val="24"/>
        </w:rPr>
      </w:r>
    </w:p>
    <w:bookmarkStart w:id="1417" w:name="P1417"/>
    <w:bookmarkEnd w:id="1417"/>
    <w:p>
      <w:pPr>
        <w:pStyle w:val="0"/>
        <w:ind w:firstLine="540"/>
        <w:jc w:val="both"/>
      </w:pPr>
      <w:r>
        <w:rPr>
          <w:sz w:val="24"/>
        </w:rPr>
        <w:t xml:space="preserve">322. Информация размещается непосредственно на официальном сайте страховой медицинской организации в форме инфографики, мультимедиа, гипертекстовой форме, документа в электронной форме, графической форме, форме открытых данных и базы данных, в виде активных ссылок, при активации которых пользователь получает доступ к страницам сайта, содержащим информацию, указанную в </w:t>
      </w:r>
      <w:hyperlink w:history="0" w:anchor="P1367" w:tooltip="321. Страховые медицинские организации размещают на собственных официальных сайтах в информационно-телекоммуникационной сети &quot;Интернет&quot;, опубликовывают в средствах массовой информации или доводят до сведения застрахованных лиц иными предусмотренными законодательством Российской Федерации способами следующую информацию:">
        <w:r>
          <w:rPr>
            <w:sz w:val="24"/>
            <w:color w:val="0000ff"/>
          </w:rPr>
          <w:t xml:space="preserve">пункте 321</w:t>
        </w:r>
      </w:hyperlink>
      <w:r>
        <w:rPr>
          <w:sz w:val="24"/>
        </w:rPr>
        <w:t xml:space="preserve"> настоящих Правил.</w:t>
      </w:r>
    </w:p>
    <w:p>
      <w:pPr>
        <w:pStyle w:val="0"/>
        <w:spacing w:before="240" w:lineRule="auto"/>
        <w:ind w:firstLine="540"/>
        <w:jc w:val="both"/>
      </w:pPr>
      <w:r>
        <w:rPr>
          <w:sz w:val="24"/>
        </w:rPr>
        <w:t xml:space="preserve">323. При размещении информации в гипертекстовой форме обеспечивается возможность поиска и копирования фрагментов текста средствами веб-обозревателя.</w:t>
      </w:r>
    </w:p>
    <w:p>
      <w:pPr>
        <w:pStyle w:val="0"/>
        <w:spacing w:before="240" w:lineRule="auto"/>
        <w:ind w:firstLine="540"/>
        <w:jc w:val="both"/>
      </w:pPr>
      <w:r>
        <w:rPr>
          <w:sz w:val="24"/>
        </w:rPr>
        <w:t xml:space="preserve">324. При размещении информации в форме электронного документа обеспечивается возможность ее сохранения на технических средствах пользователей, допускающая после сохранения поиск и копирование произвольного фрагмента текста средствами соответствующей программы для просмотра.</w:t>
      </w:r>
    </w:p>
    <w:p>
      <w:pPr>
        <w:pStyle w:val="0"/>
        <w:spacing w:before="240" w:lineRule="auto"/>
        <w:ind w:firstLine="540"/>
        <w:jc w:val="both"/>
      </w:pPr>
      <w:r>
        <w:rPr>
          <w:sz w:val="24"/>
        </w:rPr>
        <w:t xml:space="preserve">325. Информация в форме открытых данных размещается в формате CSV, XML, RDF либо в ином формате, позволяющем осуществлять автоматизированную обработку информации.</w:t>
      </w:r>
    </w:p>
    <w:p>
      <w:pPr>
        <w:pStyle w:val="0"/>
        <w:spacing w:before="240" w:lineRule="auto"/>
        <w:ind w:firstLine="540"/>
        <w:jc w:val="both"/>
      </w:pPr>
      <w:r>
        <w:rPr>
          <w:sz w:val="24"/>
        </w:rPr>
        <w:t xml:space="preserve">326. Способы размещения информации, указанные в </w:t>
      </w:r>
      <w:hyperlink w:history="0" w:anchor="P1417" w:tooltip="322. Информация размещается непосредственно на официальном сайте страховой медицинской организации в форме инфографики, мультимедиа, гипертекстовой форме, документа в электронной форме, графической форме, форме открытых данных и базы данных, в виде активных ссылок, при активации которых пользователь получает доступ к страницам сайта, содержащим информацию, указанную в пункте 321 настоящих Правил.">
        <w:r>
          <w:rPr>
            <w:sz w:val="24"/>
            <w:color w:val="0000ff"/>
          </w:rPr>
          <w:t xml:space="preserve">пункте 322</w:t>
        </w:r>
      </w:hyperlink>
      <w:r>
        <w:rPr>
          <w:sz w:val="24"/>
        </w:rPr>
        <w:t xml:space="preserve"> настоящих Правил, должны обеспечивать возможность пользователю распечатать на бумажном носителе информацию: о порядке получения полиса, об обязанностях застрахованных лиц в соответствии с Федеральным </w:t>
      </w:r>
      <w:hyperlink w:history="0" r:id="rId254" w:tooltip="Федеральный закон от 29.11.2010 N 326-ФЗ (ред. от 20.02.2026) &quot;Об обязательном медицинском страховании в Российской Федерации&quot; {КонсультантПлюс}">
        <w:r>
          <w:rPr>
            <w:sz w:val="24"/>
            <w:color w:val="0000ff"/>
          </w:rPr>
          <w:t xml:space="preserve">законом</w:t>
        </w:r>
      </w:hyperlink>
      <w:r>
        <w:rPr>
          <w:sz w:val="24"/>
        </w:rPr>
        <w:t xml:space="preserve">, о правах застрахованных лиц в сфере обязательного медицинского страхования, в том числе праве выбора или замены страховой медицинской организации, медицинской организации, о медицинских организациях, осуществляющих деятельность в сфере обязательного медицинского страхования на территории субъекта Российской Федерации, о видах, качестве и об условиях предоставления медицинской помощи.</w:t>
      </w:r>
    </w:p>
    <w:p>
      <w:pPr>
        <w:pStyle w:val="0"/>
        <w:spacing w:before="240" w:lineRule="auto"/>
        <w:ind w:firstLine="540"/>
        <w:jc w:val="both"/>
      </w:pPr>
      <w:r>
        <w:rPr>
          <w:sz w:val="24"/>
        </w:rPr>
        <w:t xml:space="preserve">327. Размещаемая на официальном сайте страховой медицинской организации информация подлежит актуализации не позднее трех рабочих дней с момента ее изменения.</w:t>
      </w:r>
    </w:p>
    <w:p>
      <w:pPr>
        <w:pStyle w:val="0"/>
        <w:spacing w:before="240" w:lineRule="auto"/>
        <w:ind w:firstLine="540"/>
        <w:jc w:val="both"/>
      </w:pPr>
      <w:r>
        <w:rPr>
          <w:sz w:val="24"/>
        </w:rPr>
        <w:t xml:space="preserve">328. Опубликование в средствах массовой информации (включая электронные) информационных материалов по одной или нескольким темам, из числа указанных в </w:t>
      </w:r>
      <w:hyperlink w:history="0" w:anchor="P1367" w:tooltip="321. Страховые медицинские организации размещают на собственных официальных сайтах в информационно-телекоммуникационной сети &quot;Интернет&quot;, опубликовывают в средствах массовой информации или доводят до сведения застрахованных лиц иными предусмотренными законодательством Российской Федерации способами следующую информацию:">
        <w:r>
          <w:rPr>
            <w:sz w:val="24"/>
            <w:color w:val="0000ff"/>
          </w:rPr>
          <w:t xml:space="preserve">пункте 321</w:t>
        </w:r>
      </w:hyperlink>
      <w:r>
        <w:rPr>
          <w:sz w:val="24"/>
        </w:rPr>
        <w:t xml:space="preserve"> настоящих Правил, осуществляется страховой медицинской организацией по ее выбору не реже одного раза в год. Максимальное число публикаций не ограничено. Страховые медицинские организации хранят экземпляры или электронные версии публикаций не менее трех лет.</w:t>
      </w:r>
    </w:p>
    <w:p>
      <w:pPr>
        <w:pStyle w:val="0"/>
        <w:spacing w:before="240" w:lineRule="auto"/>
        <w:ind w:firstLine="540"/>
        <w:jc w:val="both"/>
      </w:pPr>
      <w:r>
        <w:rPr>
          <w:sz w:val="24"/>
        </w:rPr>
        <w:t xml:space="preserve">329. Размещение на официальном сайте страховой медицинской организации или в средствах массовой информации персональных данных осуществляется в соответствии с требованиями законодательства Российской Федерации о персональных данных.</w:t>
      </w:r>
    </w:p>
    <w:p>
      <w:pPr>
        <w:pStyle w:val="0"/>
        <w:spacing w:before="240" w:lineRule="auto"/>
        <w:ind w:firstLine="540"/>
        <w:jc w:val="both"/>
      </w:pPr>
      <w:r>
        <w:rPr>
          <w:sz w:val="24"/>
        </w:rPr>
        <w:t xml:space="preserve">330. Размещению на официальном сайте страховой медицинской организации и средствах массовой информации не подлежит информация, содержащая государственную или иную охраняемую в соответствии с законодательством Российской Федерации тайну.</w:t>
      </w:r>
    </w:p>
    <w:p>
      <w:pPr>
        <w:pStyle w:val="0"/>
        <w:jc w:val="both"/>
      </w:pPr>
      <w:r>
        <w:rPr>
          <w:sz w:val="24"/>
        </w:rPr>
      </w:r>
    </w:p>
    <w:p>
      <w:pPr>
        <w:pStyle w:val="2"/>
        <w:outlineLvl w:val="1"/>
        <w:jc w:val="center"/>
      </w:pPr>
      <w:r>
        <w:rPr>
          <w:sz w:val="24"/>
        </w:rPr>
        <w:t xml:space="preserve">XV. Перечень сведений о представителях страховой медицинской</w:t>
      </w:r>
    </w:p>
    <w:p>
      <w:pPr>
        <w:pStyle w:val="2"/>
        <w:jc w:val="center"/>
      </w:pPr>
      <w:r>
        <w:rPr>
          <w:sz w:val="24"/>
        </w:rPr>
        <w:t xml:space="preserve">организации и их размещение</w:t>
      </w:r>
    </w:p>
    <w:p>
      <w:pPr>
        <w:pStyle w:val="0"/>
        <w:jc w:val="both"/>
      </w:pPr>
      <w:r>
        <w:rPr>
          <w:sz w:val="24"/>
        </w:rPr>
      </w:r>
    </w:p>
    <w:bookmarkStart w:id="1430" w:name="P1430"/>
    <w:bookmarkEnd w:id="1430"/>
    <w:p>
      <w:pPr>
        <w:pStyle w:val="0"/>
        <w:ind w:firstLine="540"/>
        <w:jc w:val="both"/>
      </w:pPr>
      <w:r>
        <w:rPr>
          <w:sz w:val="24"/>
        </w:rPr>
        <w:t xml:space="preserve">331. Страховые медицинские организации и территориальные фонды размещают на своих официальных сайтах в информационно-телекоммуникационной сети "Интернет" о представителях страховой медицинской организации следующие сведения:</w:t>
      </w:r>
    </w:p>
    <w:p>
      <w:pPr>
        <w:pStyle w:val="0"/>
        <w:spacing w:before="240" w:lineRule="auto"/>
        <w:ind w:firstLine="540"/>
        <w:jc w:val="both"/>
      </w:pPr>
      <w:r>
        <w:rPr>
          <w:sz w:val="24"/>
        </w:rPr>
        <w:t xml:space="preserve">1) об уровнях представителей страховой медицинской организации;</w:t>
      </w:r>
    </w:p>
    <w:p>
      <w:pPr>
        <w:pStyle w:val="0"/>
        <w:spacing w:before="240" w:lineRule="auto"/>
        <w:ind w:firstLine="540"/>
        <w:jc w:val="both"/>
      </w:pPr>
      <w:r>
        <w:rPr>
          <w:sz w:val="24"/>
        </w:rPr>
        <w:t xml:space="preserve">2) о полномочиях представителей страховой медицинской организации в разрезе уровней представителей страховой медицинской организации;</w:t>
      </w:r>
    </w:p>
    <w:p>
      <w:pPr>
        <w:pStyle w:val="0"/>
        <w:spacing w:before="240" w:lineRule="auto"/>
        <w:ind w:firstLine="540"/>
        <w:jc w:val="both"/>
      </w:pPr>
      <w:r>
        <w:rPr>
          <w:sz w:val="24"/>
        </w:rPr>
        <w:t xml:space="preserve">3) о способах связи с представителями страховой медицинской организации.</w:t>
      </w:r>
    </w:p>
    <w:p>
      <w:pPr>
        <w:pStyle w:val="0"/>
        <w:spacing w:before="240" w:lineRule="auto"/>
        <w:ind w:firstLine="540"/>
        <w:jc w:val="both"/>
      </w:pPr>
      <w:r>
        <w:rPr>
          <w:sz w:val="24"/>
        </w:rPr>
        <w:t xml:space="preserve">332. Сведения о представителях страховой медицинской организации размещаются на официальном сайте страховой медицинской организации в форме инфографики, мультимедиа, гипертекстовой форме, документа в электронной форме, графической форме, форме открытых данных и базы данных, в виде активных ссылок, при активации которых пользователь получает доступ к страницам сайта, содержащим информацию, указанную в </w:t>
      </w:r>
      <w:hyperlink w:history="0" w:anchor="P1430" w:tooltip="331. Страховые медицинские организации и территориальные фонды размещают на своих официальных сайтах в информационно-телекоммуникационной сети &quot;Интернет&quot; о представителях страховой медицинской организации следующие сведения:">
        <w:r>
          <w:rPr>
            <w:sz w:val="24"/>
            <w:color w:val="0000ff"/>
          </w:rPr>
          <w:t xml:space="preserve">пункте 331</w:t>
        </w:r>
      </w:hyperlink>
      <w:r>
        <w:rPr>
          <w:sz w:val="24"/>
        </w:rPr>
        <w:t xml:space="preserve"> настоящих Правил.</w:t>
      </w:r>
    </w:p>
    <w:p>
      <w:pPr>
        <w:pStyle w:val="0"/>
        <w:spacing w:before="240" w:lineRule="auto"/>
        <w:ind w:firstLine="540"/>
        <w:jc w:val="both"/>
      </w:pPr>
      <w:r>
        <w:rPr>
          <w:sz w:val="24"/>
        </w:rPr>
        <w:t xml:space="preserve">333. На официальном сайте территориального фонда сведения о представителях страховой медицинской организации размещаются в разрезе уровней представителей страховых медицинских организаций в виде активных ссылок, при активации которых пользователь получает доступ к страницам сайта страховой медицинской организации, содержащим информацию, указанную в </w:t>
      </w:r>
      <w:hyperlink w:history="0" w:anchor="P1430" w:tooltip="331. Страховые медицинские организации и территориальные фонды размещают на своих официальных сайтах в информационно-телекоммуникационной сети &quot;Интернет&quot; о представителях страховой медицинской организации следующие сведения:">
        <w:r>
          <w:rPr>
            <w:sz w:val="24"/>
            <w:color w:val="0000ff"/>
          </w:rPr>
          <w:t xml:space="preserve">пункте 331</w:t>
        </w:r>
      </w:hyperlink>
      <w:r>
        <w:rPr>
          <w:sz w:val="24"/>
        </w:rPr>
        <w:t xml:space="preserve"> настоящих Правил.</w:t>
      </w:r>
    </w:p>
    <w:p>
      <w:pPr>
        <w:pStyle w:val="0"/>
        <w:spacing w:before="240" w:lineRule="auto"/>
        <w:ind w:firstLine="540"/>
        <w:jc w:val="both"/>
      </w:pPr>
      <w:r>
        <w:rPr>
          <w:sz w:val="24"/>
        </w:rPr>
        <w:t xml:space="preserve">334. При размещении информации в гипертекстовой форме обеспечивается возможность поиска и копирования фрагментов текста средствами веб-обозревателя.</w:t>
      </w:r>
    </w:p>
    <w:p>
      <w:pPr>
        <w:pStyle w:val="0"/>
        <w:spacing w:before="240" w:lineRule="auto"/>
        <w:ind w:firstLine="540"/>
        <w:jc w:val="both"/>
      </w:pPr>
      <w:r>
        <w:rPr>
          <w:sz w:val="24"/>
        </w:rPr>
        <w:t xml:space="preserve">335. При размещении информации в форме электронного документа обеспечивается возможность ее сохранения на технических средствах пользователей, допускающая после сохранения поиск и копирование произвольного фрагмента текста средствами соответствующей программы для просмотра.</w:t>
      </w:r>
    </w:p>
    <w:p>
      <w:pPr>
        <w:pStyle w:val="0"/>
        <w:spacing w:before="240" w:lineRule="auto"/>
        <w:ind w:firstLine="540"/>
        <w:jc w:val="both"/>
      </w:pPr>
      <w:r>
        <w:rPr>
          <w:sz w:val="24"/>
        </w:rPr>
        <w:t xml:space="preserve">336. Информация в форме открытых данных размещается в формате CSV, XML, RDF либо в ином формате, позволяющем осуществлять автоматизированную обработку информации.</w:t>
      </w:r>
    </w:p>
    <w:p>
      <w:pPr>
        <w:pStyle w:val="0"/>
        <w:spacing w:before="240" w:lineRule="auto"/>
        <w:ind w:firstLine="540"/>
        <w:jc w:val="both"/>
      </w:pPr>
      <w:r>
        <w:rPr>
          <w:sz w:val="24"/>
        </w:rPr>
        <w:t xml:space="preserve">337. Размещаемая на официальном сайте страховой медицинской организации информация подлежит актуализации не позднее трех рабочих дней с момента ее изменения.</w:t>
      </w:r>
    </w:p>
    <w:p>
      <w:pPr>
        <w:pStyle w:val="0"/>
        <w:jc w:val="both"/>
      </w:pPr>
      <w:r>
        <w:rPr>
          <w:sz w:val="24"/>
        </w:rPr>
      </w:r>
    </w:p>
    <w:bookmarkStart w:id="1441" w:name="P1441"/>
    <w:bookmarkEnd w:id="1441"/>
    <w:p>
      <w:pPr>
        <w:pStyle w:val="2"/>
        <w:outlineLvl w:val="1"/>
        <w:jc w:val="center"/>
      </w:pPr>
      <w:r>
        <w:rPr>
          <w:sz w:val="24"/>
        </w:rPr>
        <w:t xml:space="preserve">XVI. Сопровождение страховыми медицинскими организациями</w:t>
      </w:r>
    </w:p>
    <w:p>
      <w:pPr>
        <w:pStyle w:val="2"/>
        <w:jc w:val="center"/>
      </w:pPr>
      <w:r>
        <w:rPr>
          <w:sz w:val="24"/>
        </w:rPr>
        <w:t xml:space="preserve">застрахованных лиц на всей территории Российской Федерации</w:t>
      </w:r>
    </w:p>
    <w:p>
      <w:pPr>
        <w:pStyle w:val="0"/>
        <w:jc w:val="both"/>
      </w:pPr>
      <w:r>
        <w:rPr>
          <w:sz w:val="24"/>
        </w:rPr>
      </w:r>
    </w:p>
    <w:p>
      <w:pPr>
        <w:pStyle w:val="0"/>
        <w:ind w:firstLine="540"/>
        <w:jc w:val="both"/>
      </w:pPr>
      <w:r>
        <w:rPr>
          <w:sz w:val="24"/>
        </w:rPr>
        <w:t xml:space="preserve">338. Защита прав и законных интересов застрахованных лиц осуществляется страховыми медицинскими организациями в соответствии со </w:t>
      </w:r>
      <w:hyperlink w:history="0" r:id="rId255" w:tooltip="Федеральный закон от 29.11.2010 N 326-ФЗ (ред. от 20.02.2026) &quot;Об обязательном медицинском страховании в Российской Федерации&quot; {КонсультантПлюс}">
        <w:r>
          <w:rPr>
            <w:sz w:val="24"/>
            <w:color w:val="0000ff"/>
          </w:rPr>
          <w:t xml:space="preserve">статьей 14</w:t>
        </w:r>
      </w:hyperlink>
      <w:r>
        <w:rPr>
          <w:sz w:val="24"/>
        </w:rPr>
        <w:t xml:space="preserve"> Федерального закона, территориальными фондами в соответствии со </w:t>
      </w:r>
      <w:hyperlink w:history="0" r:id="rId256" w:tooltip="Федеральный закон от 29.11.2010 N 326-ФЗ (ред. от 20.02.2026) &quot;Об обязательном медицинском страховании в Российской Федерации&quot; {КонсультантПлюс}">
        <w:r>
          <w:rPr>
            <w:sz w:val="24"/>
            <w:color w:val="0000ff"/>
          </w:rPr>
          <w:t xml:space="preserve">статьей 34</w:t>
        </w:r>
      </w:hyperlink>
      <w:r>
        <w:rPr>
          <w:sz w:val="24"/>
        </w:rPr>
        <w:t xml:space="preserve"> Федерального закона и включает:</w:t>
      </w:r>
    </w:p>
    <w:p>
      <w:pPr>
        <w:pStyle w:val="0"/>
        <w:spacing w:before="240" w:lineRule="auto"/>
        <w:ind w:firstLine="540"/>
        <w:jc w:val="both"/>
      </w:pPr>
      <w:r>
        <w:rPr>
          <w:sz w:val="24"/>
        </w:rPr>
        <w:t xml:space="preserve">1) сопровождение застрахованных лиц, в том числе:</w:t>
      </w:r>
    </w:p>
    <w:p>
      <w:pPr>
        <w:pStyle w:val="0"/>
        <w:spacing w:before="240" w:lineRule="auto"/>
        <w:ind w:firstLine="540"/>
        <w:jc w:val="both"/>
      </w:pPr>
      <w:r>
        <w:rPr>
          <w:sz w:val="24"/>
        </w:rPr>
        <w:t xml:space="preserve">информационное сопровождение застрахованных лиц на всех этапах оказания им медицинской помощи;</w:t>
      </w:r>
    </w:p>
    <w:p>
      <w:pPr>
        <w:pStyle w:val="0"/>
        <w:spacing w:before="240" w:lineRule="auto"/>
        <w:ind w:firstLine="540"/>
        <w:jc w:val="both"/>
      </w:pPr>
      <w:r>
        <w:rPr>
          <w:sz w:val="24"/>
        </w:rPr>
        <w:t xml:space="preserve">содействие застрахованным лицам в восстановлении нарушенных прав в системе обязательного медицинского страхования, в том числе при возникновении у них вопросов, связанных с организацией оказания медицинской помощи, в том числе за пределами территории, в которой выдан полис обязательного медицинского страхования, и в медицинских организациях, подведомственных федеральным органам исполнительной власти, в соответствии с едиными требованиями базовой программы обязательного медицинского страхования;</w:t>
      </w:r>
    </w:p>
    <w:p>
      <w:pPr>
        <w:pStyle w:val="0"/>
        <w:spacing w:before="240" w:lineRule="auto"/>
        <w:ind w:firstLine="540"/>
        <w:jc w:val="both"/>
      </w:pPr>
      <w:r>
        <w:rPr>
          <w:sz w:val="24"/>
        </w:rPr>
        <w:t xml:space="preserve">2) проведение контроля объемов, сроков, качества и условий предоставления медицинской помощи, оказанной в рамках базовой и территориальной программ;</w:t>
      </w:r>
    </w:p>
    <w:p>
      <w:pPr>
        <w:pStyle w:val="0"/>
        <w:spacing w:before="240" w:lineRule="auto"/>
        <w:ind w:firstLine="540"/>
        <w:jc w:val="both"/>
      </w:pPr>
      <w:r>
        <w:rPr>
          <w:sz w:val="24"/>
        </w:rPr>
        <w:t xml:space="preserve">3) рассмотрение обращений застрахованных лиц в порядке, установленном Федеральным </w:t>
      </w:r>
      <w:hyperlink w:history="0" r:id="rId257" w:tooltip="Федеральный закон от 02.05.2006 N 59-ФЗ (ред. от 28.12.2024) &quot;О порядке рассмотрения обращений граждан Российской Федерации&quot; {КонсультантПлюс}">
        <w:r>
          <w:rPr>
            <w:sz w:val="24"/>
            <w:color w:val="0000ff"/>
          </w:rPr>
          <w:t xml:space="preserve">законом</w:t>
        </w:r>
      </w:hyperlink>
      <w:r>
        <w:rPr>
          <w:sz w:val="24"/>
        </w:rPr>
        <w:t xml:space="preserve"> от 2 мая 2006 г. N 59-ФЗ "О порядке рассмотрения обращений граждан Российской Федерации";</w:t>
      </w:r>
    </w:p>
    <w:p>
      <w:pPr>
        <w:pStyle w:val="0"/>
        <w:spacing w:before="240" w:lineRule="auto"/>
        <w:ind w:firstLine="540"/>
        <w:jc w:val="both"/>
      </w:pPr>
      <w:r>
        <w:rPr>
          <w:sz w:val="24"/>
        </w:rPr>
        <w:t xml:space="preserve">4) оказание помощи застрахованным лицам в предъявлении претензий к медицинским организациям в связи с отказом в оказании медицинской помощи или некачественным оказанием медицинской помощи, взиманием денежных средств за оказание медицинской помощи путем предоставления им консультаций &lt;27&gt;;</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&lt;27&gt; </w:t>
      </w:r>
      <w:hyperlink w:history="0" r:id="rId258" w:tooltip="Федеральный закон от 29.11.2010 N 326-ФЗ (ред. от 20.02.2026) &quot;Об обязательном медицинском страховании в Российской Федерации&quot; {КонсультантПлюс}">
        <w:r>
          <w:rPr>
            <w:sz w:val="24"/>
            <w:color w:val="0000ff"/>
          </w:rPr>
          <w:t xml:space="preserve">Подпункт 2 пункта 9.3 статьи 14</w:t>
        </w:r>
      </w:hyperlink>
      <w:r>
        <w:rPr>
          <w:sz w:val="24"/>
        </w:rPr>
        <w:t xml:space="preserve"> Федерального закона.</w:t>
      </w:r>
    </w:p>
    <w:p>
      <w:pPr>
        <w:pStyle w:val="0"/>
        <w:jc w:val="both"/>
      </w:pPr>
      <w:r>
        <w:rPr>
          <w:sz w:val="24"/>
        </w:rPr>
      </w:r>
    </w:p>
    <w:p>
      <w:pPr>
        <w:pStyle w:val="0"/>
        <w:ind w:firstLine="540"/>
        <w:jc w:val="both"/>
      </w:pPr>
      <w:r>
        <w:rPr>
          <w:sz w:val="24"/>
        </w:rPr>
        <w:t xml:space="preserve">5) проведение опросов застрахованных лиц (представителей застрахованных лиц, в том числе законных представителей) об удовлетворенности доступностью и качеством медицинской помощи в медицинских организациях;</w:t>
      </w:r>
    </w:p>
    <w:p>
      <w:pPr>
        <w:pStyle w:val="0"/>
        <w:spacing w:before="240" w:lineRule="auto"/>
        <w:ind w:firstLine="540"/>
        <w:jc w:val="both"/>
      </w:pPr>
      <w:r>
        <w:rPr>
          <w:sz w:val="24"/>
        </w:rPr>
        <w:t xml:space="preserve">6) другие направления деятельности, установленные законодательством Российской Федерации.</w:t>
      </w:r>
    </w:p>
    <w:p>
      <w:pPr>
        <w:pStyle w:val="0"/>
        <w:spacing w:before="240" w:lineRule="auto"/>
        <w:ind w:firstLine="540"/>
        <w:jc w:val="both"/>
      </w:pPr>
      <w:r>
        <w:rPr>
          <w:sz w:val="24"/>
        </w:rPr>
        <w:t xml:space="preserve">339. Защита прав и законных интересов застрахованных лиц, в том числе сопровождение застрахованных лиц, в страховой медицинской организации осуществляется представителями страховой медицинской организации, где:</w:t>
      </w:r>
    </w:p>
    <w:p>
      <w:pPr>
        <w:pStyle w:val="0"/>
        <w:spacing w:before="240" w:lineRule="auto"/>
        <w:ind w:firstLine="540"/>
        <w:jc w:val="both"/>
      </w:pPr>
      <w:r>
        <w:rPr>
          <w:sz w:val="24"/>
        </w:rPr>
        <w:t xml:space="preserve">представители страховой медицинской организации 1 уровня (специалисты регионального или единого контакт-центра страховой медицинской организации, работающие по трудовому договору или гражданско-правовому договору) осуществляют информирование застрахованных лиц о необходимости прохождения профилактических мероприятий, в случае поступления от территориального фонда сведений о причинах возврата направления на медико-социальную экспертизу в медицинскую организацию, в том числе о необходимости прохождения дополнительных медицинских обследований в соответствии с перечнем медицинских обследований, необходимых для получения клинико-функциональных данных в зависимости от заболевания в целях проведения медико-социальной экспертизы, опросы застрахованных лиц о качестве и доступности медицинской помощи, предоставление по устным обращениям застрахованных лиц информации по вопросам обязательного медицинского страхования (типовые вопросы), переадресация вопросов, требующих рассмотрения иными специалистами страховой медицинской организации;</w:t>
      </w:r>
    </w:p>
    <w:p>
      <w:pPr>
        <w:pStyle w:val="0"/>
        <w:spacing w:before="240" w:lineRule="auto"/>
        <w:ind w:firstLine="540"/>
        <w:jc w:val="both"/>
      </w:pPr>
      <w:r>
        <w:rPr>
          <w:sz w:val="24"/>
        </w:rPr>
        <w:t xml:space="preserve">представители страховой медицинской организации 2 уровня (сотрудники страховой медицинской организации, работающие по трудовому договору или гражданско-правовому договору) проводят работу с обращениями граждан, организуют информирование и сопровождение застрахованных лиц при оказании им медицинской помощи, в том числе профилактических мероприятий, осуществляют подготовку к информированию списков лиц, подлежащих диспансеризации, включая углубленной диспансеризации, а также лиц, находящихся на диспансерном наблюдении в соответствии с запланированным медицинской организацией планом-графиком проведения профилактических мероприятий, организация индивидуального информирования застрахованных лиц о необходимости прохождения профилактических мероприятий и диспансерной явки, проводят мониторинг и анализ результатов профилактических мероприятий, в том числе профилактических медицинских осмотров и диспансеризации, в том числе углубленной диспансеризации, осуществляют подготовку предложений для медицинских организаций по организации профилактических медицинских осмотров и диспансеризации, в том числе углубленной диспансеризации;</w:t>
      </w:r>
    </w:p>
    <w:p>
      <w:pPr>
        <w:pStyle w:val="0"/>
        <w:spacing w:before="240" w:lineRule="auto"/>
        <w:ind w:firstLine="540"/>
        <w:jc w:val="both"/>
      </w:pPr>
      <w:r>
        <w:rPr>
          <w:sz w:val="24"/>
        </w:rPr>
        <w:t xml:space="preserve">представители страховой медицинской организации 3 уровня (специалисты-эксперты - сотрудники страховой медицинской организации, работающие по трудовому договору или гражданско-правовому договору) осуществляют рассмотрение жалоб застрахованных лиц, включая организацию экспертизы качества оказанной им медицинской помощи и обеспечение при наличии индивидуального согласия информационного сопровождения застрахованных лиц при организации оказания медицинской помощи, в том числе обеспечение индивидуального информирования и сопровождения застрахованных лиц по результатам профилактических медицинских осмотров и диспансеризации, в том числе углубленной диспансеризации, а также лиц, находящихся под диспансерным наблюдением, информационная работа с застрахованными лицами о необходимости своевременного обращения в медицинские организации в целях предотвращения ухудшения состояний здоровья и формирование приверженности к лечению.</w:t>
      </w:r>
    </w:p>
    <w:p>
      <w:pPr>
        <w:pStyle w:val="0"/>
        <w:spacing w:before="240" w:lineRule="auto"/>
        <w:ind w:firstLine="540"/>
        <w:jc w:val="both"/>
      </w:pPr>
      <w:r>
        <w:rPr>
          <w:sz w:val="24"/>
        </w:rPr>
        <w:t xml:space="preserve">340. Страховая медицинская организация осуществляет информационное сопровождение застрахованных лиц на всех этапах оказания им медицинской помощи и обеспечивает информирование застрахованных лиц и представителей (в том числе законных представителей), в том числе по обращениям, о:</w:t>
      </w:r>
    </w:p>
    <w:p>
      <w:pPr>
        <w:pStyle w:val="0"/>
        <w:spacing w:before="240" w:lineRule="auto"/>
        <w:ind w:firstLine="540"/>
        <w:jc w:val="both"/>
      </w:pPr>
      <w:r>
        <w:rPr>
          <w:sz w:val="24"/>
        </w:rPr>
        <w:t xml:space="preserve">1) медицинских организациях, осуществляющих деятельность в сфере обязательного медицинского страхования на территории субъекта Российской Федерации, режиме их работы;</w:t>
      </w:r>
    </w:p>
    <w:p>
      <w:pPr>
        <w:pStyle w:val="0"/>
        <w:spacing w:before="240" w:lineRule="auto"/>
        <w:ind w:firstLine="540"/>
        <w:jc w:val="both"/>
      </w:pPr>
      <w:r>
        <w:rPr>
          <w:sz w:val="24"/>
        </w:rPr>
        <w:t xml:space="preserve">2) порядке включения в единый регистр застрахованных лиц;</w:t>
      </w:r>
    </w:p>
    <w:p>
      <w:pPr>
        <w:pStyle w:val="0"/>
        <w:spacing w:before="240" w:lineRule="auto"/>
        <w:ind w:firstLine="540"/>
        <w:jc w:val="both"/>
      </w:pPr>
      <w:r>
        <w:rPr>
          <w:sz w:val="24"/>
        </w:rPr>
        <w:t xml:space="preserve">3) праве выбора (замены) и порядке выбора (замены) страховой медицинской организации, медицинской организации и врача;</w:t>
      </w:r>
    </w:p>
    <w:p>
      <w:pPr>
        <w:pStyle w:val="0"/>
        <w:spacing w:before="240" w:lineRule="auto"/>
        <w:ind w:firstLine="540"/>
        <w:jc w:val="both"/>
      </w:pPr>
      <w:r>
        <w:rPr>
          <w:sz w:val="24"/>
        </w:rPr>
        <w:t xml:space="preserve">4) порядке получения и сдачи полиса на материальном носителе;</w:t>
      </w:r>
    </w:p>
    <w:p>
      <w:pPr>
        <w:pStyle w:val="0"/>
        <w:spacing w:before="240" w:lineRule="auto"/>
        <w:ind w:firstLine="540"/>
        <w:jc w:val="both"/>
      </w:pPr>
      <w:r>
        <w:rPr>
          <w:sz w:val="24"/>
        </w:rPr>
        <w:t xml:space="preserve">5) порядке предоставления выписки о полисе;</w:t>
      </w:r>
    </w:p>
    <w:p>
      <w:pPr>
        <w:pStyle w:val="0"/>
        <w:spacing w:before="240" w:lineRule="auto"/>
        <w:ind w:firstLine="540"/>
        <w:jc w:val="both"/>
      </w:pPr>
      <w:r>
        <w:rPr>
          <w:sz w:val="24"/>
        </w:rPr>
        <w:t xml:space="preserve">6) видах, качестве и об условиях предоставления медицинской помощи в рамках базовой и территориальной программ;</w:t>
      </w:r>
    </w:p>
    <w:p>
      <w:pPr>
        <w:pStyle w:val="0"/>
        <w:spacing w:before="240" w:lineRule="auto"/>
        <w:ind w:firstLine="540"/>
        <w:jc w:val="both"/>
      </w:pPr>
      <w:r>
        <w:rPr>
          <w:sz w:val="24"/>
        </w:rPr>
        <w:t xml:space="preserve">7) прохождении, в том числе в вечерние часы и в субботу, профилактических медицинских осмотров, диспансеризации, в том числе углубленной диспансеризации, для выявления болезней системы кровообращения и онкологических заболеваний, формирующих основные причины смерти населения, а также о возможности дистанционной записи на медицинские исследования;</w:t>
      </w:r>
    </w:p>
    <w:p>
      <w:pPr>
        <w:pStyle w:val="0"/>
        <w:spacing w:before="240" w:lineRule="auto"/>
        <w:ind w:firstLine="540"/>
        <w:jc w:val="both"/>
      </w:pPr>
      <w:r>
        <w:rPr>
          <w:sz w:val="24"/>
        </w:rPr>
        <w:t xml:space="preserve">8) прохождении диспансерного наблюдения застрахованными лицами, включенными в группы диспансерного наблюдения при наличии оснований согласно порядкам и срокам проведения диспансерного наблюдения, установленными уполномоченным федеральным органом исполнительной власти в сфере охраны здоровья, в том числе онкологическими больными;</w:t>
      </w:r>
    </w:p>
    <w:p>
      <w:pPr>
        <w:pStyle w:val="0"/>
        <w:spacing w:before="240" w:lineRule="auto"/>
        <w:ind w:firstLine="540"/>
        <w:jc w:val="both"/>
      </w:pPr>
      <w:r>
        <w:rPr>
          <w:sz w:val="24"/>
        </w:rPr>
        <w:t xml:space="preserve">9) сведениях об оказанной медицинской помощи, включая сведения о ее стоимости (на основании принятых от медицинских организаций счетов и реестров счетов за оказанную медицинскую помощь) по запросу застрахованного лица;</w:t>
      </w:r>
    </w:p>
    <w:p>
      <w:pPr>
        <w:pStyle w:val="0"/>
        <w:spacing w:before="240" w:lineRule="auto"/>
        <w:ind w:firstLine="540"/>
        <w:jc w:val="both"/>
      </w:pPr>
      <w:r>
        <w:rPr>
          <w:sz w:val="24"/>
        </w:rPr>
        <w:t xml:space="preserve">10) выявленных нарушениях по результатам проведенного контроля объемов, сроков, качества и условий предоставления медицинской помощи застрахованным лицам (по обращениям застрахованных лиц);</w:t>
      </w:r>
    </w:p>
    <w:p>
      <w:pPr>
        <w:pStyle w:val="0"/>
        <w:spacing w:before="240" w:lineRule="auto"/>
        <w:ind w:firstLine="540"/>
        <w:jc w:val="both"/>
      </w:pPr>
      <w:r>
        <w:rPr>
          <w:sz w:val="24"/>
        </w:rPr>
        <w:t xml:space="preserve">11) порядке предоставления уполномоченными лицами страховой медицинской организации консультаций застрахованным лицам в предъявлении претензий к медицинским организациям в связи с отказом в оказании медицинской помощи или некачественным оказанием медицинской помощи и взиманием денежных средств за оказание медицинской помощи;</w:t>
      </w:r>
    </w:p>
    <w:p>
      <w:pPr>
        <w:pStyle w:val="0"/>
        <w:spacing w:before="240" w:lineRule="auto"/>
        <w:ind w:firstLine="540"/>
        <w:jc w:val="both"/>
      </w:pPr>
      <w:r>
        <w:rPr>
          <w:sz w:val="24"/>
        </w:rPr>
        <w:t xml:space="preserve">12) по другим вопросам, связанным с реализацией прав застрахованных лиц в сфере обязательного медицинского страхования.</w:t>
      </w:r>
    </w:p>
    <w:p>
      <w:pPr>
        <w:pStyle w:val="0"/>
        <w:spacing w:before="240" w:lineRule="auto"/>
        <w:ind w:firstLine="540"/>
        <w:jc w:val="both"/>
      </w:pPr>
      <w:r>
        <w:rPr>
          <w:sz w:val="24"/>
        </w:rPr>
        <w:t xml:space="preserve">341. При осуществлении сопровождения застрахованных лиц представители страховой медицинской организации:</w:t>
      </w:r>
    </w:p>
    <w:p>
      <w:pPr>
        <w:pStyle w:val="0"/>
        <w:spacing w:before="240" w:lineRule="auto"/>
        <w:ind w:firstLine="540"/>
        <w:jc w:val="both"/>
      </w:pPr>
      <w:r>
        <w:rPr>
          <w:sz w:val="24"/>
        </w:rPr>
        <w:t xml:space="preserve">1) предоставляют по обращениям застрахованных лиц информацию по вопросам обязательного медицинского страхования и организации оказания медицинской помощи;</w:t>
      </w:r>
    </w:p>
    <w:p>
      <w:pPr>
        <w:pStyle w:val="0"/>
        <w:spacing w:before="240" w:lineRule="auto"/>
        <w:ind w:firstLine="540"/>
        <w:jc w:val="both"/>
      </w:pPr>
      <w:r>
        <w:rPr>
          <w:sz w:val="24"/>
        </w:rPr>
        <w:t xml:space="preserve">2) оказывают помощь застрахованным лицам в предъявлении претензий к медицинским организациям в связи с отказом в оказании медицинской помощи или некачественным оказанием медицинской помощи и взиманием денежных средств за оказание медицинской помощи путем предоставления им консультаций;</w:t>
      </w:r>
    </w:p>
    <w:p>
      <w:pPr>
        <w:pStyle w:val="0"/>
        <w:spacing w:before="240" w:lineRule="auto"/>
        <w:ind w:firstLine="540"/>
        <w:jc w:val="both"/>
      </w:pPr>
      <w:r>
        <w:rPr>
          <w:sz w:val="24"/>
        </w:rPr>
        <w:t xml:space="preserve">3) осуществляют иные полномочия в соответствии с законодательством Российской Федерации &lt;28&gt;.</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&lt;28&gt; </w:t>
      </w:r>
      <w:hyperlink w:history="0" r:id="rId259" w:tooltip="Федеральный закон от 29.11.2010 N 326-ФЗ (ред. от 20.02.2026) &quot;Об обязательном медицинском страховании в Российской Федерации&quot; {КонсультантПлюс}">
        <w:r>
          <w:rPr>
            <w:sz w:val="24"/>
            <w:color w:val="0000ff"/>
          </w:rPr>
          <w:t xml:space="preserve">Пункт 9.3 статьи 14</w:t>
        </w:r>
      </w:hyperlink>
      <w:r>
        <w:rPr>
          <w:sz w:val="24"/>
        </w:rPr>
        <w:t xml:space="preserve"> Федерального закона.</w:t>
      </w:r>
    </w:p>
    <w:p>
      <w:pPr>
        <w:pStyle w:val="0"/>
        <w:jc w:val="both"/>
      </w:pPr>
      <w:r>
        <w:rPr>
          <w:sz w:val="24"/>
        </w:rPr>
      </w:r>
    </w:p>
    <w:p>
      <w:pPr>
        <w:pStyle w:val="0"/>
        <w:ind w:firstLine="540"/>
        <w:jc w:val="both"/>
      </w:pPr>
      <w:r>
        <w:rPr>
          <w:sz w:val="24"/>
        </w:rPr>
        <w:t xml:space="preserve">342. Медицинская организация безвозмездно предоставляет страховой медицинской организации доступное для пациентов место для размещения информационных материалов о правах застрахованных лиц в сфере обязательного медицинского страхования и средств информирования, в том числе информационных стендов, информационных интерактивных панелей, средств телекоммуникационной связи, а также для деятельности представителей страховой медицинской организации.</w:t>
      </w:r>
    </w:p>
    <w:p>
      <w:pPr>
        <w:pStyle w:val="0"/>
        <w:spacing w:before="240" w:lineRule="auto"/>
        <w:ind w:firstLine="540"/>
        <w:jc w:val="both"/>
      </w:pPr>
      <w:r>
        <w:rPr>
          <w:sz w:val="24"/>
        </w:rPr>
        <w:t xml:space="preserve">343. Информирование застрахованных лиц и их законных представителей об оказанной им медицинской помощи и ее стоимости (далее - информация) осуществляется Федеральным фондом, территориальным фондом по месту страхования застрахованного лица в электронном виде, в том числе по запросу, при условии завершения застрахованным лицом прохождения процедуры регистрации в единой системе идентификации и аутентификации, а также через официальные сайты при условии прохождения застрахованным лицом процедуры идентификации и аутентификации в соответствии с законодательством Российской Федерации.</w:t>
      </w:r>
    </w:p>
    <w:p>
      <w:pPr>
        <w:pStyle w:val="0"/>
        <w:spacing w:before="240" w:lineRule="auto"/>
        <w:ind w:firstLine="540"/>
        <w:jc w:val="both"/>
      </w:pPr>
      <w:r>
        <w:rPr>
          <w:sz w:val="24"/>
        </w:rPr>
        <w:t xml:space="preserve">344. Страховая медицинская организация осуществляет сопровождение застрахованных лиц на всех этапах оказания им медицинской помощи, обеспечивает информирование застрахованных лиц и представителей (в том числе законных представителей), в том числе по обращениям, а также осуществляет защиту прав и законных интересов застрахованных лиц любыми способами связи, в том числе через официальный сайт страховой медицинской организации при условии прохождения застрахованным лицом процедуры идентификации и (или) аутентификации в соответствии с законодательством Российской Федерации.</w:t>
      </w:r>
    </w:p>
    <w:p>
      <w:pPr>
        <w:pStyle w:val="0"/>
        <w:spacing w:before="240" w:lineRule="auto"/>
        <w:ind w:firstLine="540"/>
        <w:jc w:val="both"/>
      </w:pPr>
      <w:r>
        <w:rPr>
          <w:sz w:val="24"/>
        </w:rPr>
        <w:t xml:space="preserve">345. Страховая медицинская организация проводит опросы застрахованных лиц и представителей (в том числе законных представителей) о доступности и качестве медицинской помощи в медицинских организациях.</w:t>
      </w:r>
    </w:p>
    <w:p>
      <w:pPr>
        <w:pStyle w:val="0"/>
        <w:spacing w:before="240" w:lineRule="auto"/>
        <w:ind w:firstLine="540"/>
        <w:jc w:val="both"/>
      </w:pPr>
      <w:r>
        <w:rPr>
          <w:sz w:val="24"/>
        </w:rPr>
        <w:t xml:space="preserve">346. Страховая медицинская организация по результатам прохождения застрахованными лицами профилактических мероприятий взрослого населения проводит опрос не менее 0,25 процента застрахованных лиц, прошедших профилактические мероприятия из числа включенных в списки для информирования, а также не менее 10 процентов застрахованных лиц, включенных в списки для информирования о прохождении профилактических мероприятий, но не прошедших их.</w:t>
      </w:r>
    </w:p>
    <w:p>
      <w:pPr>
        <w:pStyle w:val="0"/>
        <w:spacing w:before="240" w:lineRule="auto"/>
        <w:ind w:firstLine="540"/>
        <w:jc w:val="both"/>
      </w:pPr>
      <w:r>
        <w:rPr>
          <w:sz w:val="24"/>
        </w:rPr>
        <w:t xml:space="preserve">347. Формы опросов о доступности медицинской помощи в медицинских организациях, а также формы информирования застрахованных лиц и представителей (в том числе законных представителей) о перечне оказанных им медицинских услуг и их стоимости утверждаются Федеральным фондом в соответствии с </w:t>
      </w:r>
      <w:hyperlink w:history="0" r:id="rId260" w:tooltip="Федеральный закон от 29.11.2010 N 326-ФЗ (ред. от 20.02.2026) &quot;Об обязательном медицинском страховании в Российской Федерации&quot; {КонсультантПлюс}">
        <w:r>
          <w:rPr>
            <w:sz w:val="24"/>
            <w:color w:val="0000ff"/>
          </w:rPr>
          <w:t xml:space="preserve">пунктом 6.1 части 8 статьи 33</w:t>
        </w:r>
      </w:hyperlink>
      <w:r>
        <w:rPr>
          <w:sz w:val="24"/>
        </w:rPr>
        <w:t xml:space="preserve"> Федерального закона.</w:t>
      </w:r>
    </w:p>
    <w:p>
      <w:pPr>
        <w:pStyle w:val="0"/>
        <w:spacing w:before="240" w:lineRule="auto"/>
        <w:ind w:firstLine="540"/>
        <w:jc w:val="both"/>
      </w:pPr>
      <w:r>
        <w:rPr>
          <w:sz w:val="24"/>
        </w:rPr>
        <w:t xml:space="preserve">348. Информационное сопровождение застрахованных лиц осуществляется с использованием государственной информационной системы обязательного медицинского страхования, а также региональной информационной системы обязательного медицинского страхования, интегрированной с государственной информационной системой обязательного медицинского страхования и работающей круглосуточно (далее - информационный ресурс).</w:t>
      </w:r>
    </w:p>
    <w:p>
      <w:pPr>
        <w:pStyle w:val="0"/>
        <w:spacing w:before="240" w:lineRule="auto"/>
        <w:ind w:firstLine="540"/>
        <w:jc w:val="both"/>
      </w:pPr>
      <w:r>
        <w:rPr>
          <w:sz w:val="24"/>
        </w:rPr>
        <w:t xml:space="preserve">349. Страховые медицинские организации при осуществлении информационного сопровождения застрахованных лиц вправе использовать любые способы связи в соответствии с законодательством Российской Федерации.</w:t>
      </w:r>
    </w:p>
    <w:p>
      <w:pPr>
        <w:pStyle w:val="0"/>
        <w:spacing w:before="240" w:lineRule="auto"/>
        <w:ind w:firstLine="540"/>
        <w:jc w:val="both"/>
      </w:pPr>
      <w:r>
        <w:rPr>
          <w:sz w:val="24"/>
        </w:rPr>
        <w:t xml:space="preserve">350. Страховые медицинские организации и медицинские организации используют информацию, размещенную на информационном ресурсе, для осуществления сопровождения застрахованных лиц на всех этапах оказания им медицинской помощи.</w:t>
      </w:r>
    </w:p>
    <w:p>
      <w:pPr>
        <w:pStyle w:val="0"/>
        <w:spacing w:before="240" w:lineRule="auto"/>
        <w:ind w:firstLine="540"/>
        <w:jc w:val="both"/>
      </w:pPr>
      <w:r>
        <w:rPr>
          <w:sz w:val="24"/>
        </w:rPr>
        <w:t xml:space="preserve">351. Обновление данных в информационном ресурсе осуществляется не реже одного раза в сутки в соответствии с установленным территориальным фондом графиком передачи информации медицинских организаций и страховых медицинских организаций.</w:t>
      </w:r>
    </w:p>
    <w:p>
      <w:pPr>
        <w:pStyle w:val="0"/>
        <w:spacing w:before="240" w:lineRule="auto"/>
        <w:ind w:firstLine="540"/>
        <w:jc w:val="both"/>
      </w:pPr>
      <w:r>
        <w:rPr>
          <w:sz w:val="24"/>
        </w:rPr>
        <w:t xml:space="preserve">352. Обмен информацией между медицинскими организациями, страховой медицинской организацией и территориальным фондом осуществляется в электронной форме с соблюдением требований по защите персональных данных и иной конфиденциальной информации в соответствии с </w:t>
      </w:r>
      <w:hyperlink w:history="0" r:id="rId261" w:tooltip="Федеральный закон от 29.11.2010 N 326-ФЗ (ред. от 20.02.2026) &quot;Об обязательном медицинском страховании в Российской Федерации&quot; {КонсультантПлюс}">
        <w:r>
          <w:rPr>
            <w:sz w:val="24"/>
            <w:color w:val="0000ff"/>
          </w:rPr>
          <w:t xml:space="preserve">частью 6 статьи 44</w:t>
        </w:r>
      </w:hyperlink>
      <w:r>
        <w:rPr>
          <w:sz w:val="24"/>
        </w:rPr>
        <w:t xml:space="preserve"> Федерального закона.</w:t>
      </w:r>
    </w:p>
    <w:p>
      <w:pPr>
        <w:pStyle w:val="0"/>
        <w:spacing w:before="240" w:lineRule="auto"/>
        <w:ind w:firstLine="540"/>
        <w:jc w:val="both"/>
      </w:pPr>
      <w:r>
        <w:rPr>
          <w:sz w:val="24"/>
        </w:rPr>
        <w:t xml:space="preserve">353. Страховая медицинская организация обеспечивает контроль за соблюдением прав застрахованных лиц, в том числе с онкологическими заболеваниями, на оказание медицинской помощи в соответствии с </w:t>
      </w:r>
      <w:hyperlink w:history="0" r:id="rId262" w:tooltip="Справочная информация: &quot;Стандарты и порядки оказания медицинской помощи&quot; (Материал подготовлен специалистами КонсультантПлюс) {КонсультантПлюс}">
        <w:r>
          <w:rPr>
            <w:sz w:val="24"/>
            <w:color w:val="0000ff"/>
          </w:rPr>
          <w:t xml:space="preserve">порядками</w:t>
        </w:r>
      </w:hyperlink>
      <w:r>
        <w:rPr>
          <w:sz w:val="24"/>
        </w:rPr>
        <w:t xml:space="preserve"> оказания медицинской помощи, на основе </w:t>
      </w:r>
      <w:hyperlink w:history="0" r:id="rId263" w:tooltip="Справочная информация: &quot;Клинические рекомендации&quot; (Материал подготовлен специалистами КонсультантПлюс) {КонсультантПлюс}">
        <w:r>
          <w:rPr>
            <w:sz w:val="24"/>
            <w:color w:val="0000ff"/>
          </w:rPr>
          <w:t xml:space="preserve">клинических рекомендаций</w:t>
        </w:r>
      </w:hyperlink>
      <w:r>
        <w:rPr>
          <w:sz w:val="24"/>
        </w:rPr>
        <w:t xml:space="preserve">, в том числе своевременности проведения диагностических исследований и лечебных мероприятий.</w:t>
      </w:r>
    </w:p>
    <w:p>
      <w:pPr>
        <w:pStyle w:val="0"/>
        <w:spacing w:before="240" w:lineRule="auto"/>
        <w:ind w:firstLine="540"/>
        <w:jc w:val="both"/>
      </w:pPr>
      <w:r>
        <w:rPr>
          <w:sz w:val="24"/>
        </w:rPr>
        <w:t xml:space="preserve">354. На информационном ресурсе формируется индивидуальная история:</w:t>
      </w:r>
    </w:p>
    <w:p>
      <w:pPr>
        <w:pStyle w:val="0"/>
        <w:spacing w:before="240" w:lineRule="auto"/>
        <w:ind w:firstLine="540"/>
        <w:jc w:val="both"/>
      </w:pPr>
      <w:r>
        <w:rPr>
          <w:sz w:val="24"/>
        </w:rPr>
        <w:t xml:space="preserve">страховых случаев застрахованного лица с онкологическим заболеванием на основе сведений реестров-счетов на оплату медицинской помощи на всех этапах ее оказания, по случаям подозрения на онкологическое заболевание или установленного диагноза онкологического заболевания, по впервые выявленным заболеваниям или продолжающегося лечения (далее - индивидуальная история страховых случаев застрахованного лица с онкологическим заболеванием);</w:t>
      </w:r>
    </w:p>
    <w:p>
      <w:pPr>
        <w:pStyle w:val="0"/>
        <w:spacing w:before="240" w:lineRule="auto"/>
        <w:ind w:firstLine="540"/>
        <w:jc w:val="both"/>
      </w:pPr>
      <w:r>
        <w:rPr>
          <w:sz w:val="24"/>
        </w:rPr>
        <w:t xml:space="preserve">информирования о прохождении профилактических мероприятий и диспансерном наблюдении, в том числе информирование по спискам в государственной информационной системе обязательного медицинского страхования (далее - индивидуальная история информирования застрахованных лиц);</w:t>
      </w:r>
    </w:p>
    <w:p>
      <w:pPr>
        <w:pStyle w:val="0"/>
        <w:spacing w:before="240" w:lineRule="auto"/>
        <w:ind w:firstLine="540"/>
        <w:jc w:val="both"/>
      </w:pPr>
      <w:r>
        <w:rPr>
          <w:sz w:val="24"/>
        </w:rPr>
        <w:t xml:space="preserve">других случаев информирования и сопровождения в предусмотренных законодательством и программами обязательного медицинского страхования случаях.</w:t>
      </w:r>
    </w:p>
    <w:p>
      <w:pPr>
        <w:pStyle w:val="0"/>
        <w:spacing w:before="240" w:lineRule="auto"/>
        <w:ind w:firstLine="540"/>
        <w:jc w:val="both"/>
      </w:pPr>
      <w:r>
        <w:rPr>
          <w:sz w:val="24"/>
        </w:rPr>
        <w:t xml:space="preserve">355. Индивидуальная история страховых случаев застрахованного лица с онкологическим заболеванием должна содержать следующую информацию:</w:t>
      </w:r>
    </w:p>
    <w:p>
      <w:pPr>
        <w:pStyle w:val="0"/>
        <w:spacing w:before="240" w:lineRule="auto"/>
        <w:ind w:firstLine="540"/>
        <w:jc w:val="both"/>
      </w:pPr>
      <w:r>
        <w:rPr>
          <w:sz w:val="24"/>
        </w:rPr>
        <w:t xml:space="preserve">1) номер полиса;</w:t>
      </w:r>
    </w:p>
    <w:p>
      <w:pPr>
        <w:pStyle w:val="0"/>
        <w:spacing w:before="240" w:lineRule="auto"/>
        <w:ind w:firstLine="540"/>
        <w:jc w:val="both"/>
      </w:pPr>
      <w:r>
        <w:rPr>
          <w:sz w:val="24"/>
        </w:rPr>
        <w:t xml:space="preserve">2) номера и даты счетов на оплату медицинской помощи;</w:t>
      </w:r>
    </w:p>
    <w:p>
      <w:pPr>
        <w:pStyle w:val="0"/>
        <w:spacing w:before="240" w:lineRule="auto"/>
        <w:ind w:firstLine="540"/>
        <w:jc w:val="both"/>
      </w:pPr>
      <w:r>
        <w:rPr>
          <w:sz w:val="24"/>
        </w:rPr>
        <w:t xml:space="preserve">3) коды медицинских организаций, оказавших медицинскую помощь;</w:t>
      </w:r>
    </w:p>
    <w:p>
      <w:pPr>
        <w:pStyle w:val="0"/>
        <w:spacing w:before="240" w:lineRule="auto"/>
        <w:ind w:firstLine="540"/>
        <w:jc w:val="both"/>
      </w:pPr>
      <w:r>
        <w:rPr>
          <w:sz w:val="24"/>
        </w:rPr>
        <w:t xml:space="preserve">4) о посещениях/обращениях в медицинскую организацию, оказывающую первичную медико-санитарную помощь по месту жительства/прикрепления;</w:t>
      </w:r>
    </w:p>
    <w:p>
      <w:pPr>
        <w:pStyle w:val="0"/>
        <w:spacing w:before="240" w:lineRule="auto"/>
        <w:ind w:firstLine="540"/>
        <w:jc w:val="both"/>
      </w:pPr>
      <w:r>
        <w:rPr>
          <w:sz w:val="24"/>
        </w:rPr>
        <w:t xml:space="preserve">5) о законченных случаях оказания медицинской помощи в стационарных условиях и условиях дневного стационара;</w:t>
      </w:r>
    </w:p>
    <w:p>
      <w:pPr>
        <w:pStyle w:val="0"/>
        <w:spacing w:before="240" w:lineRule="auto"/>
        <w:ind w:firstLine="540"/>
        <w:jc w:val="both"/>
      </w:pPr>
      <w:r>
        <w:rPr>
          <w:sz w:val="24"/>
        </w:rPr>
        <w:t xml:space="preserve">6) даты начала и окончания оказания медицинской помощи;</w:t>
      </w:r>
    </w:p>
    <w:p>
      <w:pPr>
        <w:pStyle w:val="0"/>
        <w:spacing w:before="240" w:lineRule="auto"/>
        <w:ind w:firstLine="540"/>
        <w:jc w:val="both"/>
      </w:pPr>
      <w:r>
        <w:rPr>
          <w:sz w:val="24"/>
        </w:rPr>
        <w:t xml:space="preserve">7) о диагнозах основного и сопутствующего заболевания, а также осложнения при оказании медицинской помощи по МКБ;</w:t>
      </w:r>
    </w:p>
    <w:p>
      <w:pPr>
        <w:pStyle w:val="0"/>
        <w:spacing w:before="240" w:lineRule="auto"/>
        <w:ind w:firstLine="540"/>
        <w:jc w:val="both"/>
      </w:pPr>
      <w:r>
        <w:rPr>
          <w:sz w:val="24"/>
        </w:rPr>
        <w:t xml:space="preserve">8) результаты обращения за медицинской помощью;</w:t>
      </w:r>
    </w:p>
    <w:p>
      <w:pPr>
        <w:pStyle w:val="0"/>
        <w:spacing w:before="240" w:lineRule="auto"/>
        <w:ind w:firstLine="540"/>
        <w:jc w:val="both"/>
      </w:pPr>
      <w:r>
        <w:rPr>
          <w:sz w:val="24"/>
        </w:rPr>
        <w:t xml:space="preserve">9) сведения о диспансерном наблюдении;</w:t>
      </w:r>
    </w:p>
    <w:p>
      <w:pPr>
        <w:pStyle w:val="0"/>
        <w:spacing w:before="240" w:lineRule="auto"/>
        <w:ind w:firstLine="540"/>
        <w:jc w:val="both"/>
      </w:pPr>
      <w:r>
        <w:rPr>
          <w:sz w:val="24"/>
        </w:rPr>
        <w:t xml:space="preserve">10) контактные данные застрахованного лица и (или) его представителя (в том числе законного представителя) (номер мобильного телефона для связи, номер другого телефона для связи, адрес электронной почты, адрес фактического проживания и другие виды связи при наличии).</w:t>
      </w:r>
    </w:p>
    <w:p>
      <w:pPr>
        <w:pStyle w:val="0"/>
        <w:spacing w:before="240" w:lineRule="auto"/>
        <w:ind w:firstLine="540"/>
        <w:jc w:val="both"/>
      </w:pPr>
      <w:r>
        <w:rPr>
          <w:sz w:val="24"/>
        </w:rPr>
        <w:t xml:space="preserve">Данные сведения формируются в хронологической последовательности по датам оказания законченного случая оказания медицинской помощи.</w:t>
      </w:r>
    </w:p>
    <w:p>
      <w:pPr>
        <w:pStyle w:val="0"/>
        <w:spacing w:before="240" w:lineRule="auto"/>
        <w:ind w:firstLine="540"/>
        <w:jc w:val="both"/>
      </w:pPr>
      <w:r>
        <w:rPr>
          <w:sz w:val="24"/>
        </w:rPr>
        <w:t xml:space="preserve">356. При реализации застрахованным лицом выбора (замены) страховой медицинской организации в связи с изменением места жительства, а также расторжением договора на оказание и оплату медицинской помощи по обязательному медицинскому страхованию полноту формирования полной индивидуальной истории страховых случаев застрахованного лица с онкологическим заболеванием обеспечивают территориальные фонды.</w:t>
      </w:r>
    </w:p>
    <w:p>
      <w:pPr>
        <w:pStyle w:val="0"/>
        <w:spacing w:before="240" w:lineRule="auto"/>
        <w:ind w:firstLine="540"/>
        <w:jc w:val="both"/>
      </w:pPr>
      <w:r>
        <w:rPr>
          <w:sz w:val="24"/>
        </w:rPr>
        <w:t xml:space="preserve">357. Индивидуальная история информирования застрахованных лиц, в том числе с онкологическим заболеванием, должна содержать следующую информацию:</w:t>
      </w:r>
    </w:p>
    <w:p>
      <w:pPr>
        <w:pStyle w:val="0"/>
        <w:spacing w:before="240" w:lineRule="auto"/>
        <w:ind w:firstLine="540"/>
        <w:jc w:val="both"/>
      </w:pPr>
      <w:r>
        <w:rPr>
          <w:sz w:val="24"/>
        </w:rPr>
        <w:t xml:space="preserve">1) номер полиса;</w:t>
      </w:r>
    </w:p>
    <w:p>
      <w:pPr>
        <w:pStyle w:val="0"/>
        <w:spacing w:before="240" w:lineRule="auto"/>
        <w:ind w:firstLine="540"/>
        <w:jc w:val="both"/>
      </w:pPr>
      <w:r>
        <w:rPr>
          <w:sz w:val="24"/>
        </w:rPr>
        <w:t xml:space="preserve">2) диагноз основной и сопутствующий по МКБ, в соответствии с которыми застрахованное лицо состоит на диспансерном наблюдении;</w:t>
      </w:r>
    </w:p>
    <w:p>
      <w:pPr>
        <w:pStyle w:val="0"/>
        <w:spacing w:before="240" w:lineRule="auto"/>
        <w:ind w:firstLine="540"/>
        <w:jc w:val="both"/>
      </w:pPr>
      <w:r>
        <w:rPr>
          <w:sz w:val="24"/>
        </w:rPr>
        <w:t xml:space="preserve">3) плановый период прохождения профилактических мероприятий, включающих в себя профилактические медицинские осмотры, диспансеризацию, в том числе углубленную диспансеризацию (далее - профилактические мероприятия), а также диспансерного наблюдения в текущем году;</w:t>
      </w:r>
    </w:p>
    <w:p>
      <w:pPr>
        <w:pStyle w:val="0"/>
        <w:spacing w:before="240" w:lineRule="auto"/>
        <w:ind w:firstLine="540"/>
        <w:jc w:val="both"/>
      </w:pPr>
      <w:r>
        <w:rPr>
          <w:sz w:val="24"/>
        </w:rPr>
        <w:t xml:space="preserve">4) сведения о форме запланированных профилактических мероприятий, а также диспансерного наблюдения;</w:t>
      </w:r>
    </w:p>
    <w:p>
      <w:pPr>
        <w:pStyle w:val="0"/>
        <w:spacing w:before="240" w:lineRule="auto"/>
        <w:ind w:firstLine="540"/>
        <w:jc w:val="both"/>
      </w:pPr>
      <w:r>
        <w:rPr>
          <w:sz w:val="24"/>
        </w:rPr>
        <w:t xml:space="preserve">5) даты и способ первичного и повторного индивидуального информирования (при наличии) о возможности прохождения профилактических мероприятий, а также диспансерного наблюдения;</w:t>
      </w:r>
    </w:p>
    <w:p>
      <w:pPr>
        <w:pStyle w:val="0"/>
        <w:spacing w:before="240" w:lineRule="auto"/>
        <w:ind w:firstLine="540"/>
        <w:jc w:val="both"/>
      </w:pPr>
      <w:r>
        <w:rPr>
          <w:sz w:val="24"/>
        </w:rPr>
        <w:t xml:space="preserve">6) даты посещения/обращения в медицинскую организацию, оказывающую первичную медико-санитарную помощь по месту жительства/прикрепления, в целях прохождения профилактических мероприятий, а также диспансерного наблюдения;</w:t>
      </w:r>
    </w:p>
    <w:p>
      <w:pPr>
        <w:pStyle w:val="0"/>
        <w:spacing w:before="240" w:lineRule="auto"/>
        <w:ind w:firstLine="540"/>
        <w:jc w:val="both"/>
      </w:pPr>
      <w:r>
        <w:rPr>
          <w:sz w:val="24"/>
        </w:rPr>
        <w:t xml:space="preserve">7) плановый период (месяц) проведения следующего профилактического мероприятия, а также диспансерного наблюдения;</w:t>
      </w:r>
    </w:p>
    <w:p>
      <w:pPr>
        <w:pStyle w:val="0"/>
        <w:spacing w:before="240" w:lineRule="auto"/>
        <w:ind w:firstLine="540"/>
        <w:jc w:val="both"/>
      </w:pPr>
      <w:r>
        <w:rPr>
          <w:sz w:val="24"/>
        </w:rPr>
        <w:t xml:space="preserve">8) планируемую дату следующего информирования с указанием диагноза основного и сопутствующего заболевания по МКБ, в соответствии с которыми застрахованное лицо информируется о диспансерном наблюдении.</w:t>
      </w:r>
    </w:p>
    <w:p>
      <w:pPr>
        <w:pStyle w:val="0"/>
        <w:spacing w:before="240" w:lineRule="auto"/>
        <w:ind w:firstLine="540"/>
        <w:jc w:val="both"/>
      </w:pPr>
      <w:r>
        <w:rPr>
          <w:sz w:val="24"/>
        </w:rPr>
        <w:t xml:space="preserve">Данные сведения формируются в хронологической последовательности по датам информирования о прохождении профилактических мероприятий, а также диспансерного наблюдения.</w:t>
      </w:r>
    </w:p>
    <w:p>
      <w:pPr>
        <w:pStyle w:val="0"/>
        <w:spacing w:before="240" w:lineRule="auto"/>
        <w:ind w:firstLine="540"/>
        <w:jc w:val="both"/>
      </w:pPr>
      <w:r>
        <w:rPr>
          <w:sz w:val="24"/>
        </w:rPr>
        <w:t xml:space="preserve">358. При реализации застрахованным лицом выбора (замены) страховой медицинской организации в связи с изменением места жительства, а также расторжением договора на оказание и оплату медицинской помощи по обязательному медицинскому страхованию полноту формирования индивидуальной истории информирования о прохождении профилактических мероприятий, а также диспансерного наблюдения обеспечивают территориальные фонды.</w:t>
      </w:r>
    </w:p>
    <w:p>
      <w:pPr>
        <w:pStyle w:val="0"/>
        <w:spacing w:before="240" w:lineRule="auto"/>
        <w:ind w:firstLine="540"/>
        <w:jc w:val="both"/>
      </w:pPr>
      <w:r>
        <w:rPr>
          <w:sz w:val="24"/>
        </w:rPr>
        <w:t xml:space="preserve">359. Территориальный фонд обеспечивает внесение в информационный ресурс информации об установленных Комиссией объемах предоставления медицинской помощи для медицинских организаций, в том числе их корректировки, не позднее двух рабочих дней с даты принятия Комиссией решений о распределении (перераспределении) указанных объемов и в разрезе отделений и профилей коек.</w:t>
      </w:r>
    </w:p>
    <w:bookmarkStart w:id="1521" w:name="P1521"/>
    <w:bookmarkEnd w:id="1521"/>
    <w:p>
      <w:pPr>
        <w:pStyle w:val="0"/>
        <w:spacing w:before="240" w:lineRule="auto"/>
        <w:ind w:firstLine="540"/>
        <w:jc w:val="both"/>
      </w:pPr>
      <w:r>
        <w:rPr>
          <w:sz w:val="24"/>
        </w:rPr>
        <w:t xml:space="preserve">360. Медицинская организация, оказывающая первичную медико-санитарную помощь в амбулаторных условиях, посредством государственной информационной системы обязательного медицинского страхования представляет в срок не позднее 16 декабря предшествующего года на следующий календарный год:</w:t>
      </w:r>
    </w:p>
    <w:p>
      <w:pPr>
        <w:pStyle w:val="0"/>
        <w:spacing w:before="240" w:lineRule="auto"/>
        <w:ind w:firstLine="540"/>
        <w:jc w:val="both"/>
      </w:pPr>
      <w:r>
        <w:rPr>
          <w:sz w:val="24"/>
        </w:rPr>
        <w:t xml:space="preserve">1) сведения о застрахованных лицах, выбравших данную медицинскую организацию в соответствии с законодательством Российской Федерации;</w:t>
      </w:r>
    </w:p>
    <w:p>
      <w:pPr>
        <w:pStyle w:val="0"/>
        <w:spacing w:before="240" w:lineRule="auto"/>
        <w:ind w:firstLine="540"/>
        <w:jc w:val="both"/>
      </w:pPr>
      <w:r>
        <w:rPr>
          <w:sz w:val="24"/>
        </w:rPr>
        <w:t xml:space="preserve">2) планы-графики проведения профилактических медицинских осмотров, диспансеризации, в том числе углубленной диспансеризации, на следующий календарный год с поквартальной/помесячной разбивкой в разрезе терапевтических участков (участков врача общей практики, фельдшерских участков) не позднее двух рабочих дней с даты утверждения (изменения) указанного плана-графика;</w:t>
      </w:r>
    </w:p>
    <w:p>
      <w:pPr>
        <w:pStyle w:val="0"/>
        <w:spacing w:before="240" w:lineRule="auto"/>
        <w:ind w:firstLine="540"/>
        <w:jc w:val="both"/>
      </w:pPr>
      <w:r>
        <w:rPr>
          <w:sz w:val="24"/>
        </w:rPr>
        <w:t xml:space="preserve">3) сведения о застрахованных лицах, находящихся под диспансерным наблюдением в медицинской организации на следующий календарный год;</w:t>
      </w:r>
    </w:p>
    <w:p>
      <w:pPr>
        <w:pStyle w:val="0"/>
        <w:spacing w:before="240" w:lineRule="auto"/>
        <w:ind w:firstLine="540"/>
        <w:jc w:val="both"/>
      </w:pPr>
      <w:r>
        <w:rPr>
          <w:sz w:val="24"/>
        </w:rPr>
        <w:t xml:space="preserve">4) график работы медицинской организации, в том числе отделений (кабинетов) для прохождения гражданами профилактических медицинских осмотров и диспансеризации, в том числе в вечерние часы и в субботу, а также выездных мобильных бригад с указанием графика и адресов их работы.</w:t>
      </w:r>
    </w:p>
    <w:p>
      <w:pPr>
        <w:pStyle w:val="0"/>
        <w:spacing w:before="240" w:lineRule="auto"/>
        <w:ind w:firstLine="540"/>
        <w:jc w:val="both"/>
      </w:pPr>
      <w:r>
        <w:rPr>
          <w:sz w:val="24"/>
        </w:rPr>
        <w:t xml:space="preserve">361. Медицинские организации представляют указанную информацию в государственной информационной системе обязательного медицинского страхования &lt;29&gt;.</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&lt;29&gt; </w:t>
      </w:r>
      <w:hyperlink w:history="0" r:id="rId264" w:tooltip="Приказ ФФОМС от 31.03.2021 N 34н (ред. от 15.11.2022) &quot;Об определении Порядка информационного взаимодействия в сфере обязательного медицинского страхования&quot; (Зарегистрировано в Минюсте России 25.08.2021 N 64757) {КонсультантПлюс}">
        <w:r>
          <w:rPr>
            <w:sz w:val="24"/>
            <w:color w:val="0000ff"/>
          </w:rPr>
          <w:t xml:space="preserve">Приказ</w:t>
        </w:r>
      </w:hyperlink>
      <w:r>
        <w:rPr>
          <w:sz w:val="24"/>
        </w:rPr>
        <w:t xml:space="preserve"> Федерального фонда обязательного медицинского страхования от 31 марта 2021 г. N 34н "Об определении Порядка информационного взаимодействия в сфере обязательного медицинского страхования" (зарегистрирован Министерством юстиции Российской Федерации 25 августа 2021 г., регистрационный N 64757) с изменениями, внесенными приказами Федерального фонда обязательного медицинского страхования от 11 февраля 2022 г. N 17н (зарегистрирован Министерством юстиции Российской Федерации 24 февраля 2022 г., регистрационный N 67445), от 15 ноября 2022 г. N 166н (зарегистрирован Министерством юстиции Российской Федерации 21 ноября 2022 г., регистрационный N 71028).</w:t>
      </w:r>
    </w:p>
    <w:p>
      <w:pPr>
        <w:pStyle w:val="0"/>
        <w:jc w:val="both"/>
      </w:pPr>
      <w:r>
        <w:rPr>
          <w:sz w:val="24"/>
        </w:rPr>
      </w:r>
    </w:p>
    <w:p>
      <w:pPr>
        <w:pStyle w:val="0"/>
        <w:ind w:firstLine="540"/>
        <w:jc w:val="both"/>
      </w:pPr>
      <w:r>
        <w:rPr>
          <w:sz w:val="24"/>
        </w:rPr>
        <w:t xml:space="preserve">362. В случае использования медицинской организацией в целях ведения персонифицированного учета региональной информационной системы обязательного медицинского страхования, медицинская организация обеспечивает последующую передачу таких сведений в государственную информационную систему обязательного медицинского страхования в соответствии с порядком информационного взаимодействия.</w:t>
      </w:r>
    </w:p>
    <w:p>
      <w:pPr>
        <w:pStyle w:val="0"/>
        <w:spacing w:before="240" w:lineRule="auto"/>
        <w:ind w:firstLine="540"/>
        <w:jc w:val="both"/>
      </w:pPr>
      <w:r>
        <w:rPr>
          <w:sz w:val="24"/>
        </w:rPr>
        <w:t xml:space="preserve">363. При представлении медицинской организацией в информационном ресурсе сведений о лицах, находящихся под диспансерным наблюдением в соответствующей медицинской организации в установленный соответствующим порядком диспансерного наблюдения период, и планируемых сроках диспансерного наблюдения дополнительно к сведениям, установленным </w:t>
      </w:r>
      <w:hyperlink w:history="0" w:anchor="P1521" w:tooltip="360. Медицинская организация, оказывающая первичную медико-санитарную помощь в амбулаторных условиях, посредством государственной информационной системы обязательного медицинского страхования представляет в срок не позднее 16 декабря предшествующего года на следующий календарный год:">
        <w:r>
          <w:rPr>
            <w:sz w:val="24"/>
            <w:color w:val="0000ff"/>
          </w:rPr>
          <w:t xml:space="preserve">пунктом 360</w:t>
        </w:r>
      </w:hyperlink>
      <w:r>
        <w:rPr>
          <w:sz w:val="24"/>
        </w:rPr>
        <w:t xml:space="preserve"> настоящих Правил, ежемесячно представляются следующие сведения:</w:t>
      </w:r>
    </w:p>
    <w:p>
      <w:pPr>
        <w:pStyle w:val="0"/>
        <w:spacing w:before="240" w:lineRule="auto"/>
        <w:ind w:firstLine="540"/>
        <w:jc w:val="both"/>
      </w:pPr>
      <w:r>
        <w:rPr>
          <w:sz w:val="24"/>
        </w:rPr>
        <w:t xml:space="preserve">1) диагноз заболевания по МКБ, по поводу которого застрахованное лицо находится на диспансерном наблюдении;</w:t>
      </w:r>
    </w:p>
    <w:p>
      <w:pPr>
        <w:pStyle w:val="0"/>
        <w:spacing w:before="240" w:lineRule="auto"/>
        <w:ind w:firstLine="540"/>
        <w:jc w:val="both"/>
      </w:pPr>
      <w:r>
        <w:rPr>
          <w:sz w:val="24"/>
        </w:rPr>
        <w:t xml:space="preserve">2) дата включения застрахованного лица в группу диспансерного наблюдения;</w:t>
      </w:r>
    </w:p>
    <w:p>
      <w:pPr>
        <w:pStyle w:val="0"/>
        <w:spacing w:before="240" w:lineRule="auto"/>
        <w:ind w:firstLine="540"/>
        <w:jc w:val="both"/>
      </w:pPr>
      <w:r>
        <w:rPr>
          <w:sz w:val="24"/>
        </w:rPr>
        <w:t xml:space="preserve">3) периодичность диспансерного осмотра при диагнозе заболевания, по которому застрахованное лицо состоит на диспансерном наблюдении;</w:t>
      </w:r>
    </w:p>
    <w:p>
      <w:pPr>
        <w:pStyle w:val="0"/>
        <w:spacing w:before="240" w:lineRule="auto"/>
        <w:ind w:firstLine="540"/>
        <w:jc w:val="both"/>
      </w:pPr>
      <w:r>
        <w:rPr>
          <w:sz w:val="24"/>
        </w:rPr>
        <w:t xml:space="preserve">4) фамилия, имя, отчество (при наличии) врача-терапевта, врача-терапевта участкового, врача-педиатра, врача-педиатра участкового, врача общей практики (семейного врача) или фельдшера, выбранного застрахованным лицом в соответствии с законодательством об охране здоровья граждан;</w:t>
      </w:r>
    </w:p>
    <w:p>
      <w:pPr>
        <w:pStyle w:val="0"/>
        <w:spacing w:before="240" w:lineRule="auto"/>
        <w:ind w:firstLine="540"/>
        <w:jc w:val="both"/>
      </w:pPr>
      <w:r>
        <w:rPr>
          <w:sz w:val="24"/>
        </w:rPr>
        <w:t xml:space="preserve">5) о медицинском работнике, осуществляющем диспансерное наблюдение застрахованного лица в выбранной им медицинской организации для получения первичной медико-санитарной помощи по обязательному медицинскому страхованию: врач-терапевт (участковый), врач-педиатр (участковый), врач общей врачебной практики, врач-специалист (по профилю заболевания застрахованного лица), врач (фельдшер) отделения (кабинета) медицинской профилактики, врач (фельдшер) отделения (кабинета) медицинской профилактики или центра здоровья, фельдшер фельдшерско-акушерского пункта (фельдшерского здравпункта) в случае возложения на него руководителем медицинской организации отдельных функций лечащего врача &lt;30&gt;, в том числе по проведению диспансерного наблюдения;</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&lt;30&gt; </w:t>
      </w:r>
      <w:hyperlink w:history="0" r:id="rId265" w:tooltip="Приказ Минздрава России от 27.03.2025 N 155н &quot;Об утверждении порядка возложения руководителем медицинской организации при организации оказания первичной медико-санитарной помощи и скорой медицинской помощи на фельдшера, акушерку отдельных функций лечащего врача по непосредственному оказанию медицинской помощи пациенту в период наблюдения за ним и его лечения, в том числе по назначению и применению лекарственных препаратов, включая наркотические лекарственные препараты и психотропные лекарственные препараты&quot; {КонсультантПлюс}">
        <w:r>
          <w:rPr>
            <w:sz w:val="24"/>
            <w:color w:val="0000ff"/>
          </w:rPr>
          <w:t xml:space="preserve">Порядок</w:t>
        </w:r>
      </w:hyperlink>
      <w:r>
        <w:rPr>
          <w:sz w:val="24"/>
        </w:rPr>
        <w:t xml:space="preserve"> возложения руководителем медицинской организации при организации оказания первичной медико-санитарной помощи и скорой медицинской помощи на фельдшера, акушерку отдельных функций лечащего врача по непосредственному оказанию медицинской помощи пациенту в период наблюдения за ним и его лечения, в том числе по назначению и применению лекарственных препаратов, включая наркотические лекарственные препараты и психотропные лекарственные препараты, утвержденный приказом Министерства здравоохранения Российской Федерации от 27 марта 2025 г. N 155н (зарегистрирован Министерством юстиции Российской Федерации 14 апреля 2025 г., N 81841) (действует до 1 сентября 2031 г.).</w:t>
      </w:r>
    </w:p>
    <w:p>
      <w:pPr>
        <w:pStyle w:val="0"/>
        <w:jc w:val="both"/>
      </w:pPr>
      <w:r>
        <w:rPr>
          <w:sz w:val="24"/>
        </w:rPr>
      </w:r>
    </w:p>
    <w:p>
      <w:pPr>
        <w:pStyle w:val="0"/>
        <w:ind w:firstLine="540"/>
        <w:jc w:val="both"/>
      </w:pPr>
      <w:r>
        <w:rPr>
          <w:sz w:val="24"/>
        </w:rPr>
        <w:t xml:space="preserve">6) дата предыдущего диспансерного приема (осмотра, консультации);</w:t>
      </w:r>
    </w:p>
    <w:p>
      <w:pPr>
        <w:pStyle w:val="0"/>
        <w:spacing w:before="240" w:lineRule="auto"/>
        <w:ind w:firstLine="540"/>
        <w:jc w:val="both"/>
      </w:pPr>
      <w:r>
        <w:rPr>
          <w:sz w:val="24"/>
        </w:rPr>
        <w:t xml:space="preserve">7) сроки (календарный месяц) проведения диспансерного приема (осмотра, консультации), запланированные медицинской организацией, осуществляющей диспансерное наблюдение;</w:t>
      </w:r>
    </w:p>
    <w:p>
      <w:pPr>
        <w:pStyle w:val="0"/>
        <w:spacing w:before="240" w:lineRule="auto"/>
        <w:ind w:firstLine="540"/>
        <w:jc w:val="both"/>
      </w:pPr>
      <w:r>
        <w:rPr>
          <w:sz w:val="24"/>
        </w:rPr>
        <w:t xml:space="preserve">8) о месте проведения диспансерного приема (осмотра, консультации): медицинская организация или на дому (в случае невозможности посещения гражданином, подлежащим диспансерному наблюдению, медицинской организации в связи с тяжестью состояния или нарушением двигательных функций);</w:t>
      </w:r>
    </w:p>
    <w:p>
      <w:pPr>
        <w:pStyle w:val="0"/>
        <w:spacing w:before="240" w:lineRule="auto"/>
        <w:ind w:firstLine="540"/>
        <w:jc w:val="both"/>
      </w:pPr>
      <w:r>
        <w:rPr>
          <w:sz w:val="24"/>
        </w:rPr>
        <w:t xml:space="preserve">9) дата посещения/обращения застрахованного лица медицинской организации для прохождения диспансерного приема (осмотра, консультации) (по факту обращения);</w:t>
      </w:r>
    </w:p>
    <w:p>
      <w:pPr>
        <w:pStyle w:val="0"/>
        <w:spacing w:before="240" w:lineRule="auto"/>
        <w:ind w:firstLine="540"/>
        <w:jc w:val="both"/>
      </w:pPr>
      <w:r>
        <w:rPr>
          <w:sz w:val="24"/>
        </w:rPr>
        <w:t xml:space="preserve">10) результат диспансерного приема (осмотра, консультации) (по факту обращения), отражающий выдачу застрахованному лицу медицинским работником, указанным в подпункте "д" настоящего пункта настоящих Правил, направления для проведения диспансерного наблюдения врачом-специалистом другой медицинской организации, в том числе специализированного вида, оказывающей первичную специализированную медико-санитарную помощь по профилю заболевания застрахованного лица, в случае отсутствия такого врача-специалиста в медицинской организации;</w:t>
      </w:r>
    </w:p>
    <w:p>
      <w:pPr>
        <w:pStyle w:val="0"/>
        <w:spacing w:before="240" w:lineRule="auto"/>
        <w:ind w:firstLine="540"/>
        <w:jc w:val="both"/>
      </w:pPr>
      <w:r>
        <w:rPr>
          <w:sz w:val="24"/>
        </w:rPr>
        <w:t xml:space="preserve">11) результат диспансерного приема (осмотра, консультации) (по факту обращения).</w:t>
      </w:r>
    </w:p>
    <w:p>
      <w:pPr>
        <w:pStyle w:val="0"/>
        <w:spacing w:before="240" w:lineRule="auto"/>
        <w:ind w:firstLine="540"/>
        <w:jc w:val="both"/>
      </w:pPr>
      <w:r>
        <w:rPr>
          <w:sz w:val="24"/>
        </w:rPr>
        <w:t xml:space="preserve">364. Медицинская организация, оказывающая первичную медико-санитарную помощь в амбулаторных условиях, ежемесячно в течение двух рабочих дней со дня окончания отчетного периода осуществляет обновление в информационном ресурсе сведений о застрахованных лицах:</w:t>
      </w:r>
    </w:p>
    <w:p>
      <w:pPr>
        <w:pStyle w:val="0"/>
        <w:spacing w:before="240" w:lineRule="auto"/>
        <w:ind w:firstLine="540"/>
        <w:jc w:val="both"/>
      </w:pPr>
      <w:r>
        <w:rPr>
          <w:sz w:val="24"/>
        </w:rPr>
        <w:t xml:space="preserve">1) прошедших профилактические медицинские осмотры, диспансеризацию, в том числе углубленную диспансеризацию, для выявления болезней системы кровообращения и онкологических заболеваний, формирующих основные причины смерти населения;</w:t>
      </w:r>
    </w:p>
    <w:p>
      <w:pPr>
        <w:pStyle w:val="0"/>
        <w:spacing w:before="240" w:lineRule="auto"/>
        <w:ind w:firstLine="540"/>
        <w:jc w:val="both"/>
      </w:pPr>
      <w:r>
        <w:rPr>
          <w:sz w:val="24"/>
        </w:rPr>
        <w:t xml:space="preserve">2) начавших прохождение диспансеризации;</w:t>
      </w:r>
    </w:p>
    <w:p>
      <w:pPr>
        <w:pStyle w:val="0"/>
        <w:spacing w:before="240" w:lineRule="auto"/>
        <w:ind w:firstLine="540"/>
        <w:jc w:val="both"/>
      </w:pPr>
      <w:r>
        <w:rPr>
          <w:sz w:val="24"/>
        </w:rPr>
        <w:t xml:space="preserve">3) завершивших первый этап диспансеризации;</w:t>
      </w:r>
    </w:p>
    <w:p>
      <w:pPr>
        <w:pStyle w:val="0"/>
        <w:spacing w:before="240" w:lineRule="auto"/>
        <w:ind w:firstLine="540"/>
        <w:jc w:val="both"/>
      </w:pPr>
      <w:r>
        <w:rPr>
          <w:sz w:val="24"/>
        </w:rPr>
        <w:t xml:space="preserve">4) направленных на второй этап диспансеризации;</w:t>
      </w:r>
    </w:p>
    <w:p>
      <w:pPr>
        <w:pStyle w:val="0"/>
        <w:spacing w:before="240" w:lineRule="auto"/>
        <w:ind w:firstLine="540"/>
        <w:jc w:val="both"/>
      </w:pPr>
      <w:r>
        <w:rPr>
          <w:sz w:val="24"/>
        </w:rPr>
        <w:t xml:space="preserve">5) завершивших второй этап диспансеризации;</w:t>
      </w:r>
    </w:p>
    <w:p>
      <w:pPr>
        <w:pStyle w:val="0"/>
        <w:spacing w:before="240" w:lineRule="auto"/>
        <w:ind w:firstLine="540"/>
        <w:jc w:val="both"/>
      </w:pPr>
      <w:r>
        <w:rPr>
          <w:sz w:val="24"/>
        </w:rPr>
        <w:t xml:space="preserve">6) присвоенной группе здоровья по результатам прохождения диспансеризации.</w:t>
      </w:r>
    </w:p>
    <w:p>
      <w:pPr>
        <w:pStyle w:val="0"/>
        <w:spacing w:before="240" w:lineRule="auto"/>
        <w:ind w:firstLine="540"/>
        <w:jc w:val="both"/>
      </w:pPr>
      <w:r>
        <w:rPr>
          <w:sz w:val="24"/>
        </w:rPr>
        <w:t xml:space="preserve">365. В отношении застрахованного лица, направленного на II этап диспансеризации, на информационном ресурсе указывается перечень дополнительных обследований и осмотров врачами-специалистами, назначенных застрахованному лицу к выполнению на II этапе диспансеризации для уточнения диагноза заболевания, а также сведения о застрахованном лице, направленном по итогам II этапа диспансеризации на диспансерное наблюдение.</w:t>
      </w:r>
    </w:p>
    <w:p>
      <w:pPr>
        <w:pStyle w:val="0"/>
        <w:spacing w:before="240" w:lineRule="auto"/>
        <w:ind w:firstLine="540"/>
        <w:jc w:val="both"/>
      </w:pPr>
      <w:r>
        <w:rPr>
          <w:sz w:val="24"/>
        </w:rPr>
        <w:t xml:space="preserve">366. Страховая медицинская организация осуществляет в течение года публичное информирование застрахованных лиц о целях и задачах профилактических мероприятий, и порядке их проведения через публикации в средствах массовой информации, распространение брошюр и памяток, выступления в коллективах застрахованных лиц, через размещение информации на официальном сайте, а также индивидуальное информирование застрахованных лиц о праве прохождения профилактических мероприятий и диспансерного наблюдения.</w:t>
      </w:r>
    </w:p>
    <w:p>
      <w:pPr>
        <w:pStyle w:val="0"/>
        <w:spacing w:before="240" w:lineRule="auto"/>
        <w:ind w:firstLine="540"/>
        <w:jc w:val="both"/>
      </w:pPr>
      <w:r>
        <w:rPr>
          <w:sz w:val="24"/>
        </w:rPr>
        <w:t xml:space="preserve">367. Страховая медицинская организация получает и использует для информационного сопровождения данные о застрахованных лицах:</w:t>
      </w:r>
    </w:p>
    <w:p>
      <w:pPr>
        <w:pStyle w:val="0"/>
        <w:spacing w:before="240" w:lineRule="auto"/>
        <w:ind w:firstLine="540"/>
        <w:jc w:val="both"/>
      </w:pPr>
      <w:r>
        <w:rPr>
          <w:sz w:val="24"/>
        </w:rPr>
        <w:t xml:space="preserve">1) подлежащих профилактическим медицинским осмотрам, диспансеризации и диспансерному наблюдению в текущем календарном году;</w:t>
      </w:r>
    </w:p>
    <w:p>
      <w:pPr>
        <w:pStyle w:val="0"/>
        <w:spacing w:before="240" w:lineRule="auto"/>
        <w:ind w:firstLine="540"/>
        <w:jc w:val="both"/>
      </w:pPr>
      <w:r>
        <w:rPr>
          <w:sz w:val="24"/>
        </w:rPr>
        <w:t xml:space="preserve">2) начавших прохождение диспансеризации;</w:t>
      </w:r>
    </w:p>
    <w:p>
      <w:pPr>
        <w:pStyle w:val="0"/>
        <w:spacing w:before="240" w:lineRule="auto"/>
        <w:ind w:firstLine="540"/>
        <w:jc w:val="both"/>
      </w:pPr>
      <w:r>
        <w:rPr>
          <w:sz w:val="24"/>
        </w:rPr>
        <w:t xml:space="preserve">3) завершивших первый этап диспансеризации;</w:t>
      </w:r>
    </w:p>
    <w:p>
      <w:pPr>
        <w:pStyle w:val="0"/>
        <w:spacing w:before="240" w:lineRule="auto"/>
        <w:ind w:firstLine="540"/>
        <w:jc w:val="both"/>
      </w:pPr>
      <w:r>
        <w:rPr>
          <w:sz w:val="24"/>
        </w:rPr>
        <w:t xml:space="preserve">4) направленных на второй этап диспансеризации;</w:t>
      </w:r>
    </w:p>
    <w:p>
      <w:pPr>
        <w:pStyle w:val="0"/>
        <w:spacing w:before="240" w:lineRule="auto"/>
        <w:ind w:firstLine="540"/>
        <w:jc w:val="both"/>
      </w:pPr>
      <w:r>
        <w:rPr>
          <w:sz w:val="24"/>
        </w:rPr>
        <w:t xml:space="preserve">5) завершивших второй этап диспансеризации;</w:t>
      </w:r>
    </w:p>
    <w:p>
      <w:pPr>
        <w:pStyle w:val="0"/>
        <w:spacing w:before="240" w:lineRule="auto"/>
        <w:ind w:firstLine="540"/>
        <w:jc w:val="both"/>
      </w:pPr>
      <w:r>
        <w:rPr>
          <w:sz w:val="24"/>
        </w:rPr>
        <w:t xml:space="preserve">6) прошедших профилактический медицинский осмотр, в том числе для выявления болезней системы кровообращения и онкологических заболеваний, формирующих основные причины смерти населения;</w:t>
      </w:r>
    </w:p>
    <w:p>
      <w:pPr>
        <w:pStyle w:val="0"/>
        <w:spacing w:before="240" w:lineRule="auto"/>
        <w:ind w:firstLine="540"/>
        <w:jc w:val="both"/>
      </w:pPr>
      <w:r>
        <w:rPr>
          <w:sz w:val="24"/>
        </w:rPr>
        <w:t xml:space="preserve">7) прошедших диспансерное наблюдение по каждому заболеванию, по которому застрахованное лицо подлежит диспансерному наблюдению.</w:t>
      </w:r>
    </w:p>
    <w:p>
      <w:pPr>
        <w:pStyle w:val="0"/>
        <w:spacing w:before="240" w:lineRule="auto"/>
        <w:ind w:firstLine="540"/>
        <w:jc w:val="both"/>
      </w:pPr>
      <w:r>
        <w:rPr>
          <w:sz w:val="24"/>
        </w:rPr>
        <w:t xml:space="preserve">368. Территориальный фонд в срок не позднее 30 декабря предшествующего года на основании регистра застрахованных лиц и сведений, внесенных каждой медицинской организацией в информационный ресурс, формирует с учетом страховой принадлежности списки застрахованных лиц, подлежащих прохождению профилактических мероприятий и диспансерного наблюдения в очередном календарном году, а также о застрахованных лицах, находящихся под диспансерным наблюдением в текущем календарном году: фамилию, имя, отчество (при наличии), дату рождения, номер полиса. Данные сведения территориальный фонд размещает в информационном ресурсе. Далее ежемесячно не позднее 30 числа месяца (до 28-го для февраля), предшествующего периоду для информирования.</w:t>
      </w:r>
    </w:p>
    <w:p>
      <w:pPr>
        <w:pStyle w:val="0"/>
        <w:spacing w:before="240" w:lineRule="auto"/>
        <w:ind w:firstLine="540"/>
        <w:jc w:val="both"/>
      </w:pPr>
      <w:r>
        <w:rPr>
          <w:sz w:val="24"/>
        </w:rPr>
        <w:t xml:space="preserve">369. Страховая медицинская организация с учетом запланированного медицинской организацией плана-графика проведения профилактических осмотров, диспансеризации, и диспансерного наблюдения и имеющихся возможностей медицинской организации получает помесячные списки на информирование и осуществляет индивидуальное информирование застрахованных лиц или представителей (в том числе законных представителей) о прохождении профилактических медицинских осмотров, диспансеризации и диспансерного наблюдения в очередном календарном году согласно сформированным помесячным спискам.</w:t>
      </w:r>
    </w:p>
    <w:p>
      <w:pPr>
        <w:pStyle w:val="0"/>
        <w:spacing w:before="240" w:lineRule="auto"/>
        <w:ind w:firstLine="540"/>
        <w:jc w:val="both"/>
      </w:pPr>
      <w:r>
        <w:rPr>
          <w:sz w:val="24"/>
        </w:rPr>
        <w:t xml:space="preserve">370. Информирование на предстоящий отчетный месяц проводится не позднее последнего дня месяца, предшествующего отчетному с учетом результатов информирования в государственной информационной системе обязательного медицинского страхования с помощью автоматизированных каналов связи, а также имеющихся у страховой медицинской организации сведений о прохождении профилактических мероприятий и диспансерного наблюдения в прошедшие отчетные периоды текущего года по данным представленных к оплате реестров-счетов, сведений о замене страховой медицинской организации или иных поводах прекращения в отношении застрахованного лица факта страхования. Информирование на январь проводится в течение 5 рабочих дней со дня доведения территориальным фондом страховой медицинской организации списков на информирование.</w:t>
      </w:r>
    </w:p>
    <w:p>
      <w:pPr>
        <w:pStyle w:val="0"/>
        <w:spacing w:before="240" w:lineRule="auto"/>
        <w:ind w:firstLine="540"/>
        <w:jc w:val="both"/>
      </w:pPr>
      <w:r>
        <w:rPr>
          <w:sz w:val="24"/>
        </w:rPr>
        <w:t xml:space="preserve">371. Каждое застрахованное лицо, включенное в список для прохождения профилактических мероприятий, информируется один раз, а также повторно в течение календарного года при неявке на профилактические мероприятия в течение трех месяцев со дня информирования или повторного информирования о прохождении профилактических мероприятий.</w:t>
      </w:r>
    </w:p>
    <w:p>
      <w:pPr>
        <w:pStyle w:val="0"/>
        <w:spacing w:before="240" w:lineRule="auto"/>
        <w:ind w:firstLine="540"/>
        <w:jc w:val="both"/>
      </w:pPr>
      <w:r>
        <w:rPr>
          <w:sz w:val="24"/>
        </w:rPr>
        <w:t xml:space="preserve">372. Страховые медицинские организации по результатам индивидуального информирования застрахованных лиц по спискам из региональной информационной системы обязательного медицинского страхования о прохождении профилактических мероприятий средствами единого информационного ресурса представляют в территориальный фонд сведения о застрахованных лицах:</w:t>
      </w:r>
    </w:p>
    <w:p>
      <w:pPr>
        <w:pStyle w:val="0"/>
        <w:spacing w:before="240" w:lineRule="auto"/>
        <w:ind w:firstLine="540"/>
        <w:jc w:val="both"/>
      </w:pPr>
      <w:r>
        <w:rPr>
          <w:sz w:val="24"/>
        </w:rPr>
        <w:t xml:space="preserve">1) даты первичного и повторного информирования страховой медицинской организацией застрахованного лица о профилактических мероприятиях, в том числе находящегося под диспансерным наблюдением, и не прошедшего диспансерный прием (осмотр, консультацию), о необходимости прохождения диспансерного осмотра в текущем году в установленные сроки;</w:t>
      </w:r>
    </w:p>
    <w:p>
      <w:pPr>
        <w:pStyle w:val="0"/>
        <w:spacing w:before="240" w:lineRule="auto"/>
        <w:ind w:firstLine="540"/>
        <w:jc w:val="both"/>
      </w:pPr>
      <w:r>
        <w:rPr>
          <w:sz w:val="24"/>
        </w:rPr>
        <w:t xml:space="preserve">2) способ первичного и повторного информирования страховой медицинской организацией застрахованного лица.</w:t>
      </w:r>
    </w:p>
    <w:p>
      <w:pPr>
        <w:pStyle w:val="0"/>
        <w:spacing w:before="240" w:lineRule="auto"/>
        <w:ind w:firstLine="540"/>
        <w:jc w:val="both"/>
      </w:pPr>
      <w:r>
        <w:rPr>
          <w:sz w:val="24"/>
        </w:rPr>
        <w:t xml:space="preserve">373. Страховые медицинские организации размещают в информационном ресурсе результаты информирования не позднее пятого рабочего дня месяца, следующего за месяцем информирования.</w:t>
      </w:r>
    </w:p>
    <w:bookmarkStart w:id="1571" w:name="P1571"/>
    <w:bookmarkEnd w:id="1571"/>
    <w:p>
      <w:pPr>
        <w:pStyle w:val="0"/>
        <w:spacing w:before="240" w:lineRule="auto"/>
        <w:ind w:firstLine="540"/>
        <w:jc w:val="both"/>
      </w:pPr>
      <w:r>
        <w:rPr>
          <w:sz w:val="24"/>
        </w:rPr>
        <w:t xml:space="preserve">374. Медицинская организация, оказывающая первичную медико-санитарную помощь в условиях дневного стационара и (или) специализированную медицинскую помощь, в том числе высокотехнологичную медицинскую помощь, включенную в территориальную программу, ежедневно не позднее 09.00 часов местного времени заполняет в информационном ресурсе за истекшие сутки о:</w:t>
      </w:r>
    </w:p>
    <w:p>
      <w:pPr>
        <w:pStyle w:val="0"/>
        <w:spacing w:before="240" w:lineRule="auto"/>
        <w:ind w:firstLine="540"/>
        <w:jc w:val="both"/>
      </w:pPr>
      <w:r>
        <w:rPr>
          <w:sz w:val="24"/>
        </w:rPr>
        <w:t xml:space="preserve">1) выполнении объемов медицинской помощи, установленных решением Комиссии в разрезе профилей (отделений) медицинской помощи, оказание которой предусмотрено лицензией на осуществление медицинской деятельности медицинской организации;</w:t>
      </w:r>
    </w:p>
    <w:p>
      <w:pPr>
        <w:pStyle w:val="0"/>
        <w:spacing w:before="240" w:lineRule="auto"/>
        <w:ind w:firstLine="540"/>
        <w:jc w:val="both"/>
      </w:pPr>
      <w:r>
        <w:rPr>
          <w:sz w:val="24"/>
        </w:rPr>
        <w:t xml:space="preserve">2) количестве свободных койко-мест для оказания медицинской помощи в стационарных условиях (далее - госпитализация) в плановом порядке в разрезе профилей (отделений) медицинской помощи на текущий день и на ближайшие 10 рабочих дней с указанием планируемой даты освобождения места;</w:t>
      </w:r>
    </w:p>
    <w:p>
      <w:pPr>
        <w:pStyle w:val="0"/>
        <w:spacing w:before="240" w:lineRule="auto"/>
        <w:ind w:firstLine="540"/>
        <w:jc w:val="both"/>
      </w:pPr>
      <w:r>
        <w:rPr>
          <w:sz w:val="24"/>
        </w:rPr>
        <w:t xml:space="preserve">3) застрахованных лицах, госпитализированных за день по направлениям, в том числе на оказание высокотехнологичной медицинской помощи в плановом порядке в разрезе профилей (отделений) медицинской помощи (в том числе в разрезе медицинских организаций, направивших застрахованное лицо на госпитализацию);</w:t>
      </w:r>
    </w:p>
    <w:p>
      <w:pPr>
        <w:pStyle w:val="0"/>
        <w:spacing w:before="240" w:lineRule="auto"/>
        <w:ind w:firstLine="540"/>
        <w:jc w:val="both"/>
      </w:pPr>
      <w:r>
        <w:rPr>
          <w:sz w:val="24"/>
        </w:rPr>
        <w:t xml:space="preserve">4) застрахованных лицах, госпитализированных в экстренном порядке и выписанных после экстренных госпитализаций в разрезе профилей (отделений) медицинской помощи;</w:t>
      </w:r>
    </w:p>
    <w:p>
      <w:pPr>
        <w:pStyle w:val="0"/>
        <w:spacing w:before="240" w:lineRule="auto"/>
        <w:ind w:firstLine="540"/>
        <w:jc w:val="both"/>
      </w:pPr>
      <w:r>
        <w:rPr>
          <w:sz w:val="24"/>
        </w:rPr>
        <w:t xml:space="preserve">5) застрахованных лицах, в отношении которых не состоялась запланированная госпитализация, в том числе из-за отсутствия медицинских показаний;</w:t>
      </w:r>
    </w:p>
    <w:p>
      <w:pPr>
        <w:pStyle w:val="0"/>
        <w:spacing w:before="240" w:lineRule="auto"/>
        <w:ind w:firstLine="540"/>
        <w:jc w:val="both"/>
      </w:pPr>
      <w:r>
        <w:rPr>
          <w:sz w:val="24"/>
        </w:rPr>
        <w:t xml:space="preserve">6) застрахованных лицах, получивших направление в выбранную медицинскую организацию на госпитализацию в разрезе профилей (отделений) медицинской помощи, включая дату назначенной госпитализации.</w:t>
      </w:r>
    </w:p>
    <w:p>
      <w:pPr>
        <w:pStyle w:val="0"/>
        <w:spacing w:before="240" w:lineRule="auto"/>
        <w:ind w:firstLine="540"/>
        <w:jc w:val="both"/>
      </w:pPr>
      <w:r>
        <w:rPr>
          <w:sz w:val="24"/>
        </w:rPr>
        <w:t xml:space="preserve">375. Медицинская организация, оказывающая первичную медико-санитарную помощь, а также специализированную медицинскую помощь, ежедневно не позднее 09.00 часов местного времени осуществляет обновление сведений в информационном ресурсе о застрахованных лицах за истекшие сутки, получивших направление в медицинскую организацию на госпитализацию в разрезе профилей (отделений) медицинской помощи, включая дату госпитализации и дату выписки.</w:t>
      </w:r>
    </w:p>
    <w:p>
      <w:pPr>
        <w:pStyle w:val="0"/>
        <w:spacing w:before="240" w:lineRule="auto"/>
        <w:ind w:firstLine="540"/>
        <w:jc w:val="both"/>
      </w:pPr>
      <w:r>
        <w:rPr>
          <w:sz w:val="24"/>
        </w:rPr>
        <w:t xml:space="preserve">376. Медицинская организация, оказывающая специализированную, в том числе высокотехнологичную, медицинскую помощь, включенную в территориальную программу, после получения сведений, содержащих рекомендации медицинских работников федеральных государственных бюджетных учреждений, подведомственных Министерству здравоохранения Российской Федерации, оказывающих медицинскую помощь (далее - национальные медицинские исследовательские центры) по применению методов профилактики, диагностики, лечения и реабилитации, данных при проведении консультаций/консилиумов с применением телемедицинских технологий, не позднее одного рабочего дня с даты получения данных сведений размещает посредством информационного ресурса информацию о застрахованных лицах, в отношении которых получены указанные рекомендации.</w:t>
      </w:r>
    </w:p>
    <w:p>
      <w:pPr>
        <w:pStyle w:val="0"/>
        <w:spacing w:before="240" w:lineRule="auto"/>
        <w:ind w:firstLine="540"/>
        <w:jc w:val="both"/>
      </w:pPr>
      <w:r>
        <w:rPr>
          <w:sz w:val="24"/>
        </w:rPr>
        <w:t xml:space="preserve">377. При выдаче направления на госпитализацию в плановом порядке лечащий врач медицинской организации, выбранной застрахованным лицом в соответствии в законодательством об охране здоровья граждан, обязан информировать застрахованное лицо или представителя (в том числе законного представителя) о медицинских организациях, участвующих в реализации территориальной программы, в которых возможно оказание специализированной медицинской помощи с учетом сроков ожидания указанного вида медицинской помощи, установленных территориальной программой. На основании указанной информации застрахованное лицо или представитель (в том числе законный представитель) осуществляет выбор медицинской организации для оказания ему специализированной медицинской помощи в рамках территориальной программы с учетом утвержденной в субъекте Российской Федерации маршрутизацией.</w:t>
      </w:r>
    </w:p>
    <w:p>
      <w:pPr>
        <w:pStyle w:val="0"/>
        <w:spacing w:before="240" w:lineRule="auto"/>
        <w:ind w:firstLine="540"/>
        <w:jc w:val="both"/>
      </w:pPr>
      <w:r>
        <w:rPr>
          <w:sz w:val="24"/>
        </w:rPr>
        <w:t xml:space="preserve">378. Страховая медицинская организация осуществляет контроль выполнения медицинскими организациями рекомендаций медицинских работников национальных медицинских исследовательских центров по применению методов профилактики, диагностики, лечения и реабилитации, данных при проведении консультаций/консилиумов с применением телемедицинских технологий.</w:t>
      </w:r>
    </w:p>
    <w:p>
      <w:pPr>
        <w:pStyle w:val="0"/>
        <w:spacing w:before="240" w:lineRule="auto"/>
        <w:ind w:firstLine="540"/>
        <w:jc w:val="both"/>
      </w:pPr>
      <w:r>
        <w:rPr>
          <w:sz w:val="24"/>
        </w:rPr>
        <w:t xml:space="preserve">Представители страховой медицинской организации в течение двух рабочих дней со дня размещения медицинской организацией на информационном ресурсе территориального фонда сведений о получении рекомендаций медицинских работников национальных медицинских исследовательских центров по применению методов профилактики, диагностики, лечения и реабилитации, обеспечивают проведение медико-экономической экспертизы и (или) экспертизы качества медицинской помощи в соответствии с порядком проведения контроля.</w:t>
      </w:r>
    </w:p>
    <w:p>
      <w:pPr>
        <w:pStyle w:val="0"/>
        <w:spacing w:before="240" w:lineRule="auto"/>
        <w:ind w:firstLine="540"/>
        <w:jc w:val="both"/>
      </w:pPr>
      <w:r>
        <w:rPr>
          <w:sz w:val="24"/>
        </w:rPr>
        <w:t xml:space="preserve">Экспертиза качества медицинской помощи по случаям оказания застрахованным лицам медицинской помощи с применением рекомендаций, полученных в ходе телемедицинских консультаций/консилиумов, проводится страховой медицинской организацией.</w:t>
      </w:r>
    </w:p>
    <w:p>
      <w:pPr>
        <w:pStyle w:val="0"/>
        <w:spacing w:before="240" w:lineRule="auto"/>
        <w:ind w:firstLine="540"/>
        <w:jc w:val="both"/>
      </w:pPr>
      <w:r>
        <w:rPr>
          <w:sz w:val="24"/>
        </w:rPr>
        <w:t xml:space="preserve">379. Страховая медицинская организация ежедневно по состоянию на 09.00 часов местного времени по каждой медицинской организации, с которой у нее заключен договор на оказание и оплату медицинской помощи, оказывающей первичную медико-санитарную помощь в условиях дневного стационара и (или) специализированную медицинскую помощь, в том числе высокотехнологичную, ведет учет информации за истекшие сутки о:</w:t>
      </w:r>
    </w:p>
    <w:p>
      <w:pPr>
        <w:pStyle w:val="0"/>
        <w:spacing w:before="240" w:lineRule="auto"/>
        <w:ind w:firstLine="540"/>
        <w:jc w:val="both"/>
      </w:pPr>
      <w:r>
        <w:rPr>
          <w:sz w:val="24"/>
        </w:rPr>
        <w:t xml:space="preserve">1) количестве свободных мест для госпитализации в плановом порядке в разрезе профилей (отделений) медицинской помощи на текущий день и на последующие десять рабочих дней с учетом планируемой даты освобождения места;</w:t>
      </w:r>
    </w:p>
    <w:p>
      <w:pPr>
        <w:pStyle w:val="0"/>
        <w:spacing w:before="240" w:lineRule="auto"/>
        <w:ind w:firstLine="540"/>
        <w:jc w:val="both"/>
      </w:pPr>
      <w:r>
        <w:rPr>
          <w:sz w:val="24"/>
        </w:rPr>
        <w:t xml:space="preserve">2) застрахованных лицах, получивших направление в выбранную медицинскую организацию на госпитализацию в разрезе профилей (отделений) медицинской помощи, включая дату госпитализации;</w:t>
      </w:r>
    </w:p>
    <w:p>
      <w:pPr>
        <w:pStyle w:val="0"/>
        <w:spacing w:before="240" w:lineRule="auto"/>
        <w:ind w:firstLine="540"/>
        <w:jc w:val="both"/>
      </w:pPr>
      <w:r>
        <w:rPr>
          <w:sz w:val="24"/>
        </w:rPr>
        <w:t xml:space="preserve">3) застрахованных лицах, госпитализированных в разрезе профилей (отделений) медицинской помощи по направлениям, в том числе на оказание высокотехнологичной медицинской помощи, в плановом порядке (в том числе в разрезе медицинских организаций, направивших застрахованное лицо на госпитализацию);</w:t>
      </w:r>
    </w:p>
    <w:p>
      <w:pPr>
        <w:pStyle w:val="0"/>
        <w:spacing w:before="240" w:lineRule="auto"/>
        <w:ind w:firstLine="540"/>
        <w:jc w:val="both"/>
      </w:pPr>
      <w:r>
        <w:rPr>
          <w:sz w:val="24"/>
        </w:rPr>
        <w:t xml:space="preserve">4) застрахованных лицах, в отношении которых не состоялась запланированная госпитализация, в том числе из-за отсутствия медицинских показаний.</w:t>
      </w:r>
    </w:p>
    <w:p>
      <w:pPr>
        <w:pStyle w:val="0"/>
        <w:spacing w:before="240" w:lineRule="auto"/>
        <w:ind w:firstLine="540"/>
        <w:jc w:val="both"/>
      </w:pPr>
      <w:r>
        <w:rPr>
          <w:sz w:val="24"/>
        </w:rPr>
        <w:t xml:space="preserve">380. Страховая медицинская организация на основании информации, полученной в соответствии с </w:t>
      </w:r>
      <w:hyperlink w:history="0" w:anchor="P1571" w:tooltip="374. Медицинская организация, оказывающая первичную медико-санитарную помощь в условиях дневного стационара и (или) специализированную медицинскую помощь, в том числе высокотехнологичную медицинскую помощь, включенную в территориальную программу, ежедневно не позднее 09.00 часов местного времени заполняет в информационном ресурсе за истекшие сутки о:">
        <w:r>
          <w:rPr>
            <w:sz w:val="24"/>
            <w:color w:val="0000ff"/>
          </w:rPr>
          <w:t xml:space="preserve">пунктом 374</w:t>
        </w:r>
      </w:hyperlink>
      <w:r>
        <w:rPr>
          <w:sz w:val="24"/>
        </w:rPr>
        <w:t xml:space="preserve"> настоящих Правил в течение одного рабочего дня со дня ее получения, осуществляет мониторинг правильности направлений застрахованных лиц на госпитализацию в профильные медицинские организации.</w:t>
      </w:r>
    </w:p>
    <w:p>
      <w:pPr>
        <w:pStyle w:val="0"/>
        <w:spacing w:before="240" w:lineRule="auto"/>
        <w:ind w:firstLine="540"/>
        <w:jc w:val="both"/>
      </w:pPr>
      <w:r>
        <w:rPr>
          <w:sz w:val="24"/>
        </w:rPr>
        <w:t xml:space="preserve">381. Страховая медицинская организация на основании достоверной информации, полученной в соответствии с </w:t>
      </w:r>
      <w:hyperlink w:history="0" w:anchor="P1571" w:tooltip="374. Медицинская организация, оказывающая первичную медико-санитарную помощь в условиях дневного стационара и (или) специализированную медицинскую помощь, в том числе высокотехнологичную медицинскую помощь, включенную в территориальную программу, ежедневно не позднее 09.00 часов местного времени заполняет в информационном ресурсе за истекшие сутки о:">
        <w:r>
          <w:rPr>
            <w:sz w:val="24"/>
            <w:color w:val="0000ff"/>
          </w:rPr>
          <w:t xml:space="preserve">пунктом 374</w:t>
        </w:r>
      </w:hyperlink>
      <w:r>
        <w:rPr>
          <w:sz w:val="24"/>
        </w:rPr>
        <w:t xml:space="preserve"> настоящих Правил, осуществляет анализ несостоявшихся госпитализаций застрахованных лиц.</w:t>
      </w:r>
    </w:p>
    <w:p>
      <w:pPr>
        <w:pStyle w:val="0"/>
        <w:spacing w:before="240" w:lineRule="auto"/>
        <w:ind w:firstLine="540"/>
        <w:jc w:val="both"/>
      </w:pPr>
      <w:r>
        <w:rPr>
          <w:sz w:val="24"/>
        </w:rPr>
        <w:t xml:space="preserve">382. При выявлении случаев нарушений, в том числе соблюдения сроков ожидания госпитализации, профиля госпитализации и уровня медицинской организации страховая медицинская организация информирует руководителя медицинской организации и орган исполнительной власти субъекта Российской Федерации, уполномоченный высшим исполнительным органом государственной власти субъекта Российской Федерации, о фактах непрофильной госпитализации и при необходимости принимает меры по переводу пациента в другую медицинскую организацию соответствующего профиля и имеющую оснащение в соответствии с порядками оказания медицинской помощи.</w:t>
      </w:r>
    </w:p>
    <w:p>
      <w:pPr>
        <w:pStyle w:val="0"/>
        <w:spacing w:before="240" w:lineRule="auto"/>
        <w:ind w:firstLine="540"/>
        <w:jc w:val="both"/>
      </w:pPr>
      <w:r>
        <w:rPr>
          <w:sz w:val="24"/>
        </w:rPr>
        <w:t xml:space="preserve">383. Страховая медицинская организация ежедневно не позднее 10.00 часов местного времени информирует каждую медицинскую организацию, с которой у нее заключен договор на оказание и оплату медицинской помощи, оказывающую первичную медико-санитарную помощь в условиях дневного стационара и (или) специализированную, в том числе высокотехнологичную, медицинскую помощь, о застрахованных лицах, получивших за истекшие сутки направление на госпитализацию в плановом порядке в разрезе профилей (отделений) медицинской помощи (в том числе в разрезе медицинских организаций, направивших застрахованное лицо на госпитализацию), включая планируемую дату госпитализации.</w:t>
      </w:r>
    </w:p>
    <w:p>
      <w:pPr>
        <w:pStyle w:val="0"/>
        <w:spacing w:before="240" w:lineRule="auto"/>
        <w:ind w:firstLine="540"/>
        <w:jc w:val="both"/>
      </w:pPr>
      <w:r>
        <w:rPr>
          <w:sz w:val="24"/>
        </w:rPr>
        <w:t xml:space="preserve">384. Страховая медицинская организация на основании сведений, полученных в соответствии с </w:t>
      </w:r>
      <w:hyperlink w:history="0" w:anchor="P1571" w:tooltip="374. Медицинская организация, оказывающая первичную медико-санитарную помощь в условиях дневного стационара и (или) специализированную медицинскую помощь, в том числе высокотехнологичную медицинскую помощь, включенную в территориальную программу, ежедневно не позднее 09.00 часов местного времени заполняет в информационном ресурсе за истекшие сутки о:">
        <w:r>
          <w:rPr>
            <w:sz w:val="24"/>
            <w:color w:val="0000ff"/>
          </w:rPr>
          <w:t xml:space="preserve">пунктом 374</w:t>
        </w:r>
      </w:hyperlink>
      <w:r>
        <w:rPr>
          <w:sz w:val="24"/>
        </w:rPr>
        <w:t xml:space="preserve"> настоящих Правил, ежедневно не позднее 10.00 часов местного времени информирует каждую медицинскую организацию, с которой у нее заключен договор на оказание и оплату медицинской помощи, оказывающую первичную медико-санитарную помощь в амбулаторных условиях:</w:t>
      </w:r>
    </w:p>
    <w:p>
      <w:pPr>
        <w:pStyle w:val="0"/>
        <w:spacing w:before="240" w:lineRule="auto"/>
        <w:ind w:firstLine="540"/>
        <w:jc w:val="both"/>
      </w:pPr>
      <w:r>
        <w:rPr>
          <w:sz w:val="24"/>
        </w:rPr>
        <w:t xml:space="preserve">1) о застрахованных лицах, госпитализированных в экстренном порядке и выписанных по итогам экстренных госпитализаций и выписанных по итогам экстренных госпитализаций;</w:t>
      </w:r>
    </w:p>
    <w:p>
      <w:pPr>
        <w:pStyle w:val="0"/>
        <w:spacing w:before="240" w:lineRule="auto"/>
        <w:ind w:firstLine="540"/>
        <w:jc w:val="both"/>
      </w:pPr>
      <w:r>
        <w:rPr>
          <w:sz w:val="24"/>
        </w:rPr>
        <w:t xml:space="preserve">2) о застрахованных лицах, в отношении которых не состоялась запланированная госпитализация, в том числе из-за отсутствия медицинских показаний.</w:t>
      </w:r>
    </w:p>
    <w:p>
      <w:pPr>
        <w:pStyle w:val="0"/>
        <w:spacing w:before="240" w:lineRule="auto"/>
        <w:ind w:firstLine="540"/>
        <w:jc w:val="both"/>
      </w:pPr>
      <w:r>
        <w:rPr>
          <w:sz w:val="24"/>
        </w:rPr>
        <w:t xml:space="preserve">385. Страховая медицинская организация представляет в территориальный фонд отчет об информационном сопровождении застрахованных лиц при оказании им медицинской помощи по </w:t>
      </w:r>
      <w:r>
        <w:rPr>
          <w:sz w:val="24"/>
        </w:rPr>
        <w:t xml:space="preserve">форме</w:t>
      </w:r>
      <w:r>
        <w:rPr>
          <w:sz w:val="24"/>
        </w:rPr>
        <w:t xml:space="preserve">, устанавливаемой Федеральным фондом в соответствии с </w:t>
      </w:r>
      <w:hyperlink w:history="0" r:id="rId266" w:tooltip="Федеральный закон от 29.11.2010 N 326-ФЗ (ред. от 20.02.2026) &quot;Об обязательном медицинском страховании в Российской Федерации&quot; {КонсультантПлюс}">
        <w:r>
          <w:rPr>
            <w:sz w:val="24"/>
            <w:color w:val="0000ff"/>
          </w:rPr>
          <w:t xml:space="preserve">пунктом 6.1 части 8 статьи 33</w:t>
        </w:r>
      </w:hyperlink>
      <w:r>
        <w:rPr>
          <w:sz w:val="24"/>
        </w:rPr>
        <w:t xml:space="preserve"> Федерального закона.</w:t>
      </w:r>
    </w:p>
    <w:p>
      <w:pPr>
        <w:pStyle w:val="0"/>
        <w:spacing w:before="240" w:lineRule="auto"/>
        <w:ind w:firstLine="540"/>
        <w:jc w:val="both"/>
      </w:pPr>
      <w:r>
        <w:rPr>
          <w:sz w:val="24"/>
        </w:rPr>
        <w:t xml:space="preserve">386. Страховая медицинская организация осуществляет досудебную защиту прав застрахованного лица.</w:t>
      </w:r>
    </w:p>
    <w:p>
      <w:pPr>
        <w:pStyle w:val="0"/>
        <w:spacing w:before="240" w:lineRule="auto"/>
        <w:ind w:firstLine="540"/>
        <w:jc w:val="both"/>
      </w:pPr>
      <w:r>
        <w:rPr>
          <w:sz w:val="24"/>
        </w:rPr>
        <w:t xml:space="preserve">387. При обращении застрахованного лица или представителя (в том числе законного представителя) с жалобой на некачественное оказание медицинской помощи или взимание платы за медицинскую помощь, включенную в территориальную программу, страховая медицинская организация регистрирует письменное обращение, по жалобе на некачественное оказание медицинской помощи проводит медико-экономическую экспертизу и (или) экспертизу качества медицинской помощи в соответствии с порядком проведения контроля и в сроки, установленные Федеральным </w:t>
      </w:r>
      <w:hyperlink w:history="0" r:id="rId267" w:tooltip="Федеральный закон от 02.05.2006 N 59-ФЗ (ред. от 28.12.2024) &quot;О порядке рассмотрения обращений граждан Российской Федерации&quot; {КонсультантПлюс}">
        <w:r>
          <w:rPr>
            <w:sz w:val="24"/>
            <w:color w:val="0000ff"/>
          </w:rPr>
          <w:t xml:space="preserve">законом</w:t>
        </w:r>
      </w:hyperlink>
      <w:r>
        <w:rPr>
          <w:sz w:val="24"/>
        </w:rPr>
        <w:t xml:space="preserve"> от 2 мая 2006 г. N 59-ФЗ "О порядке рассмотрения обращений граждан Российской Федерации".</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1"/>
        <w:jc w:val="right"/>
      </w:pPr>
      <w:r>
        <w:rPr>
          <w:sz w:val="24"/>
        </w:rPr>
        <w:t xml:space="preserve">Приложение N 1</w:t>
      </w:r>
    </w:p>
    <w:p>
      <w:pPr>
        <w:pStyle w:val="0"/>
        <w:jc w:val="right"/>
      </w:pPr>
      <w:r>
        <w:rPr>
          <w:sz w:val="24"/>
        </w:rPr>
        <w:t xml:space="preserve">к Правилам обязательного медицинского</w:t>
      </w:r>
    </w:p>
    <w:p>
      <w:pPr>
        <w:pStyle w:val="0"/>
        <w:jc w:val="right"/>
      </w:pPr>
      <w:r>
        <w:rPr>
          <w:sz w:val="24"/>
        </w:rPr>
        <w:t xml:space="preserve">страхования, утвержденным приказом</w:t>
      </w:r>
    </w:p>
    <w:p>
      <w:pPr>
        <w:pStyle w:val="0"/>
        <w:jc w:val="right"/>
      </w:pPr>
      <w:r>
        <w:rPr>
          <w:sz w:val="24"/>
        </w:rPr>
        <w:t xml:space="preserve">Министерства здравоохранения</w:t>
      </w:r>
    </w:p>
    <w:p>
      <w:pPr>
        <w:pStyle w:val="0"/>
        <w:jc w:val="right"/>
      </w:pPr>
      <w:r>
        <w:rPr>
          <w:sz w:val="24"/>
        </w:rPr>
        <w:t xml:space="preserve">Российской Федерации</w:t>
      </w:r>
    </w:p>
    <w:p>
      <w:pPr>
        <w:pStyle w:val="0"/>
        <w:jc w:val="right"/>
      </w:pPr>
      <w:r>
        <w:rPr>
          <w:sz w:val="24"/>
        </w:rPr>
        <w:t xml:space="preserve">от 21 августа 2025 г. N 496н</w:t>
      </w:r>
    </w:p>
    <w:p>
      <w:pPr>
        <w:pStyle w:val="0"/>
        <w:jc w:val="both"/>
      </w:pPr>
      <w:r>
        <w:rPr>
          <w:sz w:val="24"/>
        </w:rPr>
      </w:r>
    </w:p>
    <w:p>
      <w:pPr>
        <w:pStyle w:val="1"/>
        <w:jc w:val="both"/>
      </w:pPr>
      <w:r>
        <w:rPr>
          <w:sz w:val="20"/>
        </w:rPr>
        <w:t xml:space="preserve">               В  _________________________________________________________</w:t>
      </w:r>
    </w:p>
    <w:p>
      <w:pPr>
        <w:pStyle w:val="1"/>
        <w:jc w:val="both"/>
      </w:pPr>
      <w:r>
        <w:rPr>
          <w:sz w:val="20"/>
        </w:rPr>
        <w:t xml:space="preserve">                  (наименование страховой медицинской организации (филиала)</w:t>
      </w:r>
    </w:p>
    <w:p>
      <w:pPr>
        <w:pStyle w:val="1"/>
        <w:jc w:val="both"/>
      </w:pPr>
      <w:r>
        <w:rPr>
          <w:sz w:val="20"/>
        </w:rPr>
        <w:t xml:space="preserve">               от _________________________________________________________</w:t>
      </w:r>
    </w:p>
    <w:p>
      <w:pPr>
        <w:pStyle w:val="1"/>
        <w:jc w:val="both"/>
      </w:pPr>
      <w:r>
        <w:rPr>
          <w:sz w:val="20"/>
        </w:rPr>
        <w:t xml:space="preserve">                           (фамилия, имя, отчество (при наличии)</w:t>
      </w:r>
    </w:p>
    <w:p>
      <w:pPr>
        <w:pStyle w:val="1"/>
        <w:jc w:val="both"/>
      </w:pPr>
      <w:r>
        <w:rPr>
          <w:sz w:val="20"/>
        </w:rPr>
      </w:r>
    </w:p>
    <w:bookmarkStart w:id="1616" w:name="P1616"/>
    <w:bookmarkEnd w:id="1616"/>
    <w:p>
      <w:pPr>
        <w:pStyle w:val="1"/>
        <w:jc w:val="both"/>
      </w:pPr>
      <w:r>
        <w:rPr>
          <w:sz w:val="20"/>
        </w:rPr>
        <w:t xml:space="preserve">                                 ЗАЯВЛЕНИЕ</w:t>
      </w:r>
    </w:p>
    <w:p>
      <w:pPr>
        <w:pStyle w:val="1"/>
        <w:jc w:val="both"/>
      </w:pPr>
      <w:r>
        <w:rPr>
          <w:sz w:val="20"/>
        </w:rPr>
        <w:t xml:space="preserve">          о выборе (замене) страховой медицинской организации </w:t>
      </w:r>
      <w:hyperlink w:history="0" w:anchor="P1667" w:tooltip="    &lt;1&gt; При заполнении заявления исправления не допускаются.">
        <w:r>
          <w:rPr>
            <w:sz w:val="20"/>
            <w:color w:val="0000ff"/>
          </w:rPr>
          <w:t xml:space="preserve">&lt;1&gt;</w:t>
        </w:r>
      </w:hyperlink>
    </w:p>
    <w:p>
      <w:pPr>
        <w:pStyle w:val="1"/>
        <w:jc w:val="both"/>
      </w:pPr>
      <w:r>
        <w:rPr>
          <w:sz w:val="20"/>
        </w:rPr>
      </w:r>
    </w:p>
    <w:p>
      <w:pPr>
        <w:pStyle w:val="1"/>
        <w:jc w:val="both"/>
      </w:pPr>
      <w:r>
        <w:rPr>
          <w:sz w:val="20"/>
        </w:rPr>
        <w:t xml:space="preserve">    Прошу  зарегистрировать  меня  (гражданина,  представителем  которого я</w:t>
      </w:r>
    </w:p>
    <w:p>
      <w:pPr>
        <w:pStyle w:val="1"/>
        <w:jc w:val="both"/>
      </w:pPr>
      <w:r>
        <w:rPr>
          <w:sz w:val="20"/>
        </w:rPr>
        <w:t xml:space="preserve">являюсь)   (нужное   подчеркнуть)   в  качестве  лица,  застрахованного  по</w:t>
      </w:r>
    </w:p>
    <w:p>
      <w:pPr>
        <w:pStyle w:val="1"/>
        <w:jc w:val="both"/>
      </w:pPr>
      <w:r>
        <w:rPr>
          <w:sz w:val="20"/>
        </w:rPr>
        <w:t xml:space="preserve">обязательному медицинскому страхованию, в страховой медицинской организации</w:t>
      </w:r>
    </w:p>
    <w:p>
      <w:pPr>
        <w:pStyle w:val="1"/>
        <w:jc w:val="both"/>
      </w:pPr>
      <w:r>
        <w:rPr>
          <w:sz w:val="20"/>
        </w:rPr>
        <w:t xml:space="preserve">___________________________________________________________________________</w:t>
      </w:r>
    </w:p>
    <w:p>
      <w:pPr>
        <w:pStyle w:val="0"/>
        <w:jc w:val="both"/>
      </w:pPr>
      <w:r>
        <w:rPr>
          <w:sz w:val="24"/>
        </w:rPr>
      </w:r>
    </w:p>
    <w:tbl>
      <w:tblPr>
        <w:tblInd w:w="0" w:type="dxa"/>
        <w:tblLayout w:type="fixed"/>
        <w:tblBorders>
          <w:left w:val="single" w:sz="4"/>
        </w:tblBorders>
        <w:tblCellMar>
          <w:top w:w="102" w:type="dxa"/>
          <w:left w:w="62" w:type="dxa"/>
          <w:bottom w:w="102" w:type="dxa"/>
          <w:right w:w="62" w:type="dxa"/>
        </w:tblCellMar>
      </w:tblPr>
      <w:tblGrid>
        <w:gridCol w:w="396"/>
        <w:gridCol w:w="3968"/>
        <w:gridCol w:w="396"/>
        <w:gridCol w:w="396"/>
        <w:gridCol w:w="3911"/>
      </w:tblGrid>
      <w:tr>
        <w:tblPrEx>
          <w:tblBorders>
            <w:left w:val="nil"/>
          </w:tblBorders>
        </w:tblPrEx>
        <w:tc>
          <w:tcPr>
            <w:gridSpan w:val="5"/>
            <w:tcW w:w="9067" w:type="dxa"/>
            <w:tcBorders>
              <w:top w:val="nil"/>
              <w:left w:val="nil"/>
              <w:bottom w:val="nil"/>
              <w:right w:val="nil"/>
            </w:tcBorders>
          </w:tcPr>
          <w:p>
            <w:pPr>
              <w:pStyle w:val="0"/>
            </w:pPr>
            <w:r>
              <w:rPr>
                <w:sz w:val="24"/>
              </w:rPr>
              <w:t xml:space="preserve">в связи с (нужное отметить знаком "V"):</w:t>
            </w:r>
          </w:p>
        </w:tc>
      </w:tr>
      <w:tr>
        <w:tc>
          <w:tcPr>
            <w:tcW w:w="396" w:type="dxa"/>
            <w:tcBorders>
              <w:top w:val="single" w:sz="4"/>
              <w:left w:val="single" w:sz="4"/>
              <w:bottom w:val="single" w:sz="4"/>
              <w:right w:val="single" w:sz="4"/>
            </w:tcBorders>
          </w:tcPr>
          <w:p>
            <w:pPr>
              <w:pStyle w:val="0"/>
            </w:pPr>
            <w:r>
              <w:rPr>
                <w:sz w:val="24"/>
              </w:rPr>
            </w:r>
          </w:p>
        </w:tc>
        <w:tc>
          <w:tcPr>
            <w:tcW w:w="3968" w:type="dxa"/>
            <w:vAlign w:val="bottom"/>
            <w:tcBorders>
              <w:top w:val="nil"/>
              <w:left w:val="single" w:sz="4"/>
              <w:bottom w:val="nil"/>
              <w:right w:val="nil"/>
            </w:tcBorders>
          </w:tcPr>
          <w:p>
            <w:pPr>
              <w:pStyle w:val="0"/>
            </w:pPr>
            <w:r>
              <w:rPr>
                <w:sz w:val="24"/>
              </w:rPr>
              <w:t xml:space="preserve">1) выбором страховой медицинской организации;</w:t>
            </w:r>
          </w:p>
        </w:tc>
        <w:tc>
          <w:tcPr>
            <w:tcW w:w="396" w:type="dxa"/>
            <w:tcBorders>
              <w:top w:val="nil"/>
              <w:left w:val="nil"/>
              <w:bottom w:val="nil"/>
              <w:right w:val="nil"/>
            </w:tcBorders>
          </w:tcPr>
          <w:p>
            <w:pPr>
              <w:pStyle w:val="0"/>
            </w:pPr>
            <w:r>
              <w:rPr>
                <w:sz w:val="24"/>
              </w:rPr>
            </w:r>
          </w:p>
        </w:tc>
        <w:tc>
          <w:tcPr>
            <w:gridSpan w:val="2"/>
            <w:tcW w:w="4307" w:type="dxa"/>
            <w:tcBorders>
              <w:top w:val="nil"/>
              <w:left w:val="nil"/>
              <w:bottom w:val="nil"/>
              <w:right w:val="nil"/>
            </w:tcBorders>
            <w:vMerge w:val="restart"/>
          </w:tcPr>
          <w:p>
            <w:pPr>
              <w:pStyle w:val="0"/>
              <w:jc w:val="both"/>
            </w:pPr>
            <w:r>
              <w:rPr>
                <w:sz w:val="24"/>
              </w:rPr>
              <w:t xml:space="preserve">и выдать мне (гражданину, представителем которого я являюсь) (нужное подчеркнуть) в соответствии с Федеральным </w:t>
            </w:r>
            <w:hyperlink w:history="0" r:id="rId268" w:tooltip="Федеральный закон от 29.11.2010 N 326-ФЗ (ред. от 20.02.2026) &quot;Об обязательном медицинском страховании в Российской Федерации&quot; {КонсультантПлюс}">
              <w:r>
                <w:rPr>
                  <w:sz w:val="24"/>
                  <w:color w:val="0000ff"/>
                </w:rPr>
                <w:t xml:space="preserve">законом</w:t>
              </w:r>
            </w:hyperlink>
            <w:r>
              <w:rPr>
                <w:sz w:val="24"/>
              </w:rPr>
              <w:t xml:space="preserve"> от 29 ноября 2010 г. N 326-ФЗ "Об обязательном медицинском страховании в Российской Федерации" (отметить знаком "V" при необходимости):</w:t>
            </w:r>
          </w:p>
        </w:tc>
      </w:tr>
      <w:tr>
        <w:tc>
          <w:tcPr>
            <w:tcW w:w="396" w:type="dxa"/>
            <w:tcBorders>
              <w:top w:val="single" w:sz="4"/>
              <w:left w:val="single" w:sz="4"/>
              <w:bottom w:val="single" w:sz="4"/>
              <w:right w:val="single" w:sz="4"/>
            </w:tcBorders>
          </w:tcPr>
          <w:p>
            <w:pPr>
              <w:pStyle w:val="0"/>
            </w:pPr>
            <w:r>
              <w:rPr>
                <w:sz w:val="24"/>
              </w:rPr>
            </w:r>
          </w:p>
        </w:tc>
        <w:tc>
          <w:tcPr>
            <w:tcW w:w="3968" w:type="dxa"/>
            <w:vAlign w:val="bottom"/>
            <w:tcBorders>
              <w:top w:val="nil"/>
              <w:left w:val="single" w:sz="4"/>
              <w:bottom w:val="nil"/>
              <w:right w:val="nil"/>
            </w:tcBorders>
          </w:tcPr>
          <w:p>
            <w:pPr>
              <w:pStyle w:val="0"/>
            </w:pPr>
            <w:r>
              <w:rPr>
                <w:sz w:val="24"/>
              </w:rPr>
              <w:t xml:space="preserve">2) заменой страховой медицинской организации в соответствии с правом замены один раз в течение календарного года;</w:t>
            </w:r>
          </w:p>
        </w:tc>
        <w:tc>
          <w:tcPr>
            <w:tcW w:w="396" w:type="dxa"/>
            <w:tcBorders>
              <w:top w:val="nil"/>
              <w:left w:val="nil"/>
              <w:bottom w:val="nil"/>
              <w:right w:val="nil"/>
            </w:tcBorders>
          </w:tcPr>
          <w:p>
            <w:pPr>
              <w:pStyle w:val="0"/>
            </w:pPr>
            <w:r>
              <w:rPr>
                <w:sz w:val="24"/>
              </w:rPr>
            </w:r>
          </w:p>
        </w:tc>
        <w:tc>
          <w:tcPr>
            <w:gridSpan w:val="2"/>
            <w:tcBorders>
              <w:top w:val="nil"/>
              <w:left w:val="nil"/>
              <w:bottom w:val="nil"/>
              <w:right w:val="nil"/>
            </w:tcBorders>
            <w:vMerge w:val="continue"/>
          </w:tcPr>
          <w:p/>
        </w:tc>
      </w:tr>
      <w:tr>
        <w:tc>
          <w:tcPr>
            <w:tcW w:w="396" w:type="dxa"/>
            <w:tcBorders>
              <w:top w:val="single" w:sz="4"/>
              <w:left w:val="single" w:sz="4"/>
              <w:bottom w:val="single" w:sz="4"/>
              <w:right w:val="single" w:sz="4"/>
            </w:tcBorders>
          </w:tcPr>
          <w:p>
            <w:pPr>
              <w:pStyle w:val="0"/>
            </w:pPr>
            <w:r>
              <w:rPr>
                <w:sz w:val="24"/>
              </w:rPr>
            </w:r>
          </w:p>
        </w:tc>
        <w:tc>
          <w:tcPr>
            <w:tcW w:w="3968" w:type="dxa"/>
            <w:vAlign w:val="center"/>
            <w:tcBorders>
              <w:top w:val="nil"/>
              <w:left w:val="single" w:sz="4"/>
              <w:bottom w:val="nil"/>
              <w:right w:val="nil"/>
            </w:tcBorders>
          </w:tcPr>
          <w:p>
            <w:pPr>
              <w:pStyle w:val="0"/>
            </w:pPr>
            <w:r>
              <w:rPr>
                <w:sz w:val="24"/>
              </w:rPr>
              <w:t xml:space="preserve">3) заменой страховой медицинской организации в связи со сменой места жительства;</w:t>
            </w:r>
          </w:p>
        </w:tc>
        <w:tc>
          <w:tcPr>
            <w:tcW w:w="396" w:type="dxa"/>
            <w:tcBorders>
              <w:top w:val="nil"/>
              <w:left w:val="nil"/>
              <w:bottom w:val="nil"/>
              <w:right w:val="nil"/>
            </w:tcBorders>
          </w:tcPr>
          <w:p>
            <w:pPr>
              <w:pStyle w:val="0"/>
            </w:pPr>
            <w:r>
              <w:rPr>
                <w:sz w:val="24"/>
              </w:rPr>
            </w:r>
          </w:p>
        </w:tc>
        <w:tc>
          <w:tcPr>
            <w:gridSpan w:val="2"/>
            <w:tcBorders>
              <w:top w:val="nil"/>
              <w:left w:val="nil"/>
              <w:bottom w:val="nil"/>
              <w:right w:val="nil"/>
            </w:tcBorders>
            <w:vMerge w:val="continue"/>
          </w:tcPr>
          <w:p/>
        </w:tc>
      </w:tr>
      <w:tr>
        <w:tblPrEx>
          <w:tblBorders>
            <w:insideV w:val="single" w:sz="4"/>
          </w:tblBorders>
        </w:tblPrEx>
        <w:tc>
          <w:tcPr>
            <w:tcW w:w="396" w:type="dxa"/>
            <w:tcBorders>
              <w:top w:val="single" w:sz="4"/>
              <w:bottom w:val="single" w:sz="4"/>
            </w:tcBorders>
          </w:tcPr>
          <w:p>
            <w:pPr>
              <w:pStyle w:val="0"/>
            </w:pPr>
            <w:r>
              <w:rPr>
                <w:sz w:val="24"/>
              </w:rPr>
            </w:r>
          </w:p>
        </w:tc>
        <w:tc>
          <w:tcPr>
            <w:tcW w:w="3968" w:type="dxa"/>
            <w:tcBorders>
              <w:top w:val="nil"/>
              <w:bottom w:val="nil"/>
              <w:right w:val="nil"/>
            </w:tcBorders>
          </w:tcPr>
          <w:p>
            <w:pPr>
              <w:pStyle w:val="0"/>
            </w:pPr>
            <w:r>
              <w:rPr>
                <w:sz w:val="24"/>
              </w:rPr>
              <w:t xml:space="preserve">4) заменой страховой медицинской организации в связи с прекращением действия договора о финансовом обеспечении обязательного медицинского страхования.</w:t>
            </w:r>
          </w:p>
        </w:tc>
        <w:tc>
          <w:tcPr>
            <w:tcW w:w="396" w:type="dxa"/>
            <w:tcBorders>
              <w:top w:val="nil"/>
              <w:left w:val="nil"/>
              <w:bottom w:val="nil"/>
            </w:tcBorders>
          </w:tcPr>
          <w:p>
            <w:pPr>
              <w:pStyle w:val="0"/>
            </w:pPr>
            <w:r>
              <w:rPr>
                <w:sz w:val="24"/>
              </w:rPr>
            </w:r>
          </w:p>
        </w:tc>
        <w:tc>
          <w:tcPr>
            <w:tcW w:w="396" w:type="dxa"/>
            <w:tcBorders>
              <w:top w:val="single" w:sz="4"/>
              <w:bottom w:val="single" w:sz="4"/>
            </w:tcBorders>
          </w:tcPr>
          <w:p>
            <w:pPr>
              <w:pStyle w:val="0"/>
            </w:pPr>
            <w:r>
              <w:rPr>
                <w:sz w:val="24"/>
              </w:rPr>
            </w:r>
          </w:p>
        </w:tc>
        <w:tc>
          <w:tcPr>
            <w:tcW w:w="3911" w:type="dxa"/>
            <w:tcBorders>
              <w:top w:val="nil"/>
              <w:bottom w:val="nil"/>
              <w:right w:val="nil"/>
            </w:tcBorders>
          </w:tcPr>
          <w:p>
            <w:pPr>
              <w:pStyle w:val="0"/>
            </w:pPr>
            <w:r>
              <w:rPr>
                <w:sz w:val="24"/>
              </w:rPr>
              <w:t xml:space="preserve">выписку о полисе ОМС из единого регистра застрахованных лиц;</w:t>
            </w:r>
          </w:p>
        </w:tc>
      </w:tr>
    </w:tbl>
    <w:p>
      <w:pPr>
        <w:pStyle w:val="0"/>
        <w:jc w:val="both"/>
      </w:pPr>
      <w:r>
        <w:rPr>
          <w:sz w:val="24"/>
        </w:rPr>
      </w:r>
    </w:p>
    <w:tbl>
      <w:tblPr>
        <w:tblInd w:w="0" w:type="dxa"/>
        <w:tblLayout w:type="fixed"/>
        <w:tblBorders>
          <w:top w:val="single" w:sz="4"/>
          <w:insideV w:val="single" w:sz="4"/>
          <w:insideH w:val="single" w:sz="4"/>
        </w:tblBorders>
        <w:tblCellMar>
          <w:top w:w="102" w:type="dxa"/>
          <w:left w:w="62" w:type="dxa"/>
          <w:bottom w:w="102" w:type="dxa"/>
          <w:right w:w="62" w:type="dxa"/>
        </w:tblCellMar>
      </w:tblPr>
      <w:tblGrid>
        <w:gridCol w:w="1927"/>
        <w:gridCol w:w="340"/>
        <w:gridCol w:w="340"/>
        <w:gridCol w:w="340"/>
        <w:gridCol w:w="340"/>
        <w:gridCol w:w="340"/>
        <w:gridCol w:w="340"/>
        <w:gridCol w:w="340"/>
        <w:gridCol w:w="340"/>
        <w:gridCol w:w="340"/>
        <w:gridCol w:w="340"/>
        <w:gridCol w:w="340"/>
        <w:gridCol w:w="340"/>
        <w:gridCol w:w="340"/>
        <w:gridCol w:w="340"/>
        <w:gridCol w:w="340"/>
        <w:gridCol w:w="340"/>
        <w:gridCol w:w="1474"/>
        <w:gridCol w:w="340"/>
      </w:tblGrid>
      <w:tr>
        <w:tblPrEx>
          <w:tblBorders>
            <w:right w:val="single" w:sz="4"/>
          </w:tblBorders>
        </w:tblPrEx>
        <w:tc>
          <w:tcPr>
            <w:tcW w:w="1927" w:type="dxa"/>
            <w:vAlign w:val="bottom"/>
            <w:tcBorders>
              <w:top w:val="nil"/>
              <w:left w:val="nil"/>
              <w:bottom w:val="nil"/>
            </w:tcBorders>
          </w:tcPr>
          <w:p>
            <w:pPr>
              <w:pStyle w:val="0"/>
              <w:jc w:val="right"/>
            </w:pPr>
            <w:r>
              <w:rPr>
                <w:sz w:val="24"/>
              </w:rPr>
              <w:t xml:space="preserve">Номер полиса </w:t>
            </w:r>
            <w:hyperlink w:history="0" w:anchor="P1668" w:tooltip="    &lt;2&gt;  Заполняется  с ранее полученного полиса обязательного медицинского">
              <w:r>
                <w:rPr>
                  <w:sz w:val="24"/>
                  <w:color w:val="0000ff"/>
                </w:rPr>
                <w:t xml:space="preserve">&lt;2&gt;</w:t>
              </w:r>
            </w:hyperlink>
            <w:r>
              <w:rPr>
                <w:sz w:val="24"/>
              </w:rPr>
              <w:t xml:space="preserve">:</w:t>
            </w:r>
          </w:p>
        </w:tc>
        <w:tc>
          <w:tcPr>
            <w:tcW w:w="340" w:type="dxa"/>
          </w:tcPr>
          <w:p>
            <w:pPr>
              <w:pStyle w:val="0"/>
            </w:pPr>
            <w:r>
              <w:rPr>
                <w:sz w:val="24"/>
              </w:rPr>
            </w:r>
          </w:p>
        </w:tc>
        <w:tc>
          <w:tcPr>
            <w:tcW w:w="340" w:type="dxa"/>
          </w:tcPr>
          <w:p>
            <w:pPr>
              <w:pStyle w:val="0"/>
            </w:pPr>
            <w:r>
              <w:rPr>
                <w:sz w:val="24"/>
              </w:rPr>
            </w:r>
          </w:p>
        </w:tc>
        <w:tc>
          <w:tcPr>
            <w:tcW w:w="340" w:type="dxa"/>
          </w:tcPr>
          <w:p>
            <w:pPr>
              <w:pStyle w:val="0"/>
            </w:pPr>
            <w:r>
              <w:rPr>
                <w:sz w:val="24"/>
              </w:rPr>
            </w:r>
          </w:p>
        </w:tc>
        <w:tc>
          <w:tcPr>
            <w:tcW w:w="340" w:type="dxa"/>
          </w:tcPr>
          <w:p>
            <w:pPr>
              <w:pStyle w:val="0"/>
            </w:pPr>
            <w:r>
              <w:rPr>
                <w:sz w:val="24"/>
              </w:rPr>
            </w:r>
          </w:p>
        </w:tc>
        <w:tc>
          <w:tcPr>
            <w:tcW w:w="340" w:type="dxa"/>
          </w:tcPr>
          <w:p>
            <w:pPr>
              <w:pStyle w:val="0"/>
            </w:pPr>
            <w:r>
              <w:rPr>
                <w:sz w:val="24"/>
              </w:rPr>
            </w:r>
          </w:p>
        </w:tc>
        <w:tc>
          <w:tcPr>
            <w:tcW w:w="340" w:type="dxa"/>
          </w:tcPr>
          <w:p>
            <w:pPr>
              <w:pStyle w:val="0"/>
            </w:pPr>
            <w:r>
              <w:rPr>
                <w:sz w:val="24"/>
              </w:rPr>
            </w:r>
          </w:p>
        </w:tc>
        <w:tc>
          <w:tcPr>
            <w:tcW w:w="340" w:type="dxa"/>
          </w:tcPr>
          <w:p>
            <w:pPr>
              <w:pStyle w:val="0"/>
            </w:pPr>
            <w:r>
              <w:rPr>
                <w:sz w:val="24"/>
              </w:rPr>
            </w:r>
          </w:p>
        </w:tc>
        <w:tc>
          <w:tcPr>
            <w:tcW w:w="340" w:type="dxa"/>
          </w:tcPr>
          <w:p>
            <w:pPr>
              <w:pStyle w:val="0"/>
            </w:pPr>
            <w:r>
              <w:rPr>
                <w:sz w:val="24"/>
              </w:rPr>
            </w:r>
          </w:p>
        </w:tc>
        <w:tc>
          <w:tcPr>
            <w:tcW w:w="340" w:type="dxa"/>
          </w:tcPr>
          <w:p>
            <w:pPr>
              <w:pStyle w:val="0"/>
            </w:pPr>
            <w:r>
              <w:rPr>
                <w:sz w:val="24"/>
              </w:rPr>
            </w:r>
          </w:p>
        </w:tc>
        <w:tc>
          <w:tcPr>
            <w:tcW w:w="340" w:type="dxa"/>
          </w:tcPr>
          <w:p>
            <w:pPr>
              <w:pStyle w:val="0"/>
            </w:pPr>
            <w:r>
              <w:rPr>
                <w:sz w:val="24"/>
              </w:rPr>
            </w:r>
          </w:p>
        </w:tc>
        <w:tc>
          <w:tcPr>
            <w:tcW w:w="340" w:type="dxa"/>
          </w:tcPr>
          <w:p>
            <w:pPr>
              <w:pStyle w:val="0"/>
            </w:pPr>
            <w:r>
              <w:rPr>
                <w:sz w:val="24"/>
              </w:rPr>
            </w:r>
          </w:p>
        </w:tc>
        <w:tc>
          <w:tcPr>
            <w:tcW w:w="340" w:type="dxa"/>
          </w:tcPr>
          <w:p>
            <w:pPr>
              <w:pStyle w:val="0"/>
            </w:pPr>
            <w:r>
              <w:rPr>
                <w:sz w:val="24"/>
              </w:rPr>
            </w:r>
          </w:p>
        </w:tc>
        <w:tc>
          <w:tcPr>
            <w:tcW w:w="340" w:type="dxa"/>
          </w:tcPr>
          <w:p>
            <w:pPr>
              <w:pStyle w:val="0"/>
            </w:pPr>
            <w:r>
              <w:rPr>
                <w:sz w:val="24"/>
              </w:rPr>
            </w:r>
          </w:p>
        </w:tc>
        <w:tc>
          <w:tcPr>
            <w:tcW w:w="340" w:type="dxa"/>
          </w:tcPr>
          <w:p>
            <w:pPr>
              <w:pStyle w:val="0"/>
            </w:pPr>
            <w:r>
              <w:rPr>
                <w:sz w:val="24"/>
              </w:rPr>
            </w:r>
          </w:p>
        </w:tc>
        <w:tc>
          <w:tcPr>
            <w:tcW w:w="340" w:type="dxa"/>
          </w:tcPr>
          <w:p>
            <w:pPr>
              <w:pStyle w:val="0"/>
            </w:pPr>
            <w:r>
              <w:rPr>
                <w:sz w:val="24"/>
              </w:rPr>
            </w:r>
          </w:p>
        </w:tc>
        <w:tc>
          <w:tcPr>
            <w:tcW w:w="340" w:type="dxa"/>
          </w:tcPr>
          <w:p>
            <w:pPr>
              <w:pStyle w:val="0"/>
            </w:pPr>
            <w:r>
              <w:rPr>
                <w:sz w:val="24"/>
              </w:rPr>
            </w:r>
          </w:p>
        </w:tc>
        <w:tc>
          <w:tcPr>
            <w:tcW w:w="1474" w:type="dxa"/>
            <w:vAlign w:val="center"/>
            <w:tcBorders>
              <w:top w:val="nil"/>
              <w:bottom w:val="nil"/>
            </w:tcBorders>
          </w:tcPr>
          <w:p>
            <w:pPr>
              <w:pStyle w:val="0"/>
              <w:jc w:val="right"/>
            </w:pPr>
            <w:r>
              <w:rPr>
                <w:sz w:val="24"/>
              </w:rPr>
              <w:t xml:space="preserve">Отсутствует </w:t>
            </w:r>
            <w:hyperlink w:history="0" w:anchor="P1670" w:tooltip="    &lt;3&gt;  Отмечается  знаком  &quot;V&quot;,  если  полис  обязательного  медицинского">
              <w:r>
                <w:rPr>
                  <w:sz w:val="24"/>
                  <w:color w:val="0000ff"/>
                </w:rPr>
                <w:t xml:space="preserve">&lt;3&gt;</w:t>
              </w:r>
            </w:hyperlink>
          </w:p>
        </w:tc>
        <w:tc>
          <w:tcPr>
            <w:tcW w:w="340" w:type="dxa"/>
          </w:tcPr>
          <w:p>
            <w:pPr>
              <w:pStyle w:val="0"/>
            </w:pPr>
            <w:r>
              <w:rPr>
                <w:sz w:val="24"/>
              </w:rPr>
            </w:r>
          </w:p>
        </w:tc>
      </w:tr>
      <w:tr>
        <w:tblPrEx>
          <w:tblBorders>
            <w:insideH w:val="nil"/>
          </w:tblBorders>
        </w:tblPrEx>
        <w:tc>
          <w:tcPr>
            <w:gridSpan w:val="19"/>
            <w:tcW w:w="9181" w:type="dxa"/>
            <w:tcBorders>
              <w:top w:val="nil"/>
              <w:left w:val="nil"/>
              <w:right w:val="nil"/>
            </w:tcBorders>
          </w:tcPr>
          <w:p>
            <w:pPr>
              <w:pStyle w:val="0"/>
            </w:pPr>
            <w:r>
              <w:rPr>
                <w:sz w:val="24"/>
              </w:rPr>
            </w:r>
          </w:p>
        </w:tc>
      </w:tr>
      <w:tr>
        <w:tblPrEx>
          <w:tblBorders>
            <w:insideH w:val="nil"/>
          </w:tblBorders>
        </w:tblPrEx>
        <w:tc>
          <w:tcPr>
            <w:gridSpan w:val="19"/>
            <w:tcW w:w="9181" w:type="dxa"/>
            <w:tcBorders>
              <w:left w:val="nil"/>
              <w:bottom w:val="nil"/>
              <w:right w:val="nil"/>
            </w:tcBorders>
          </w:tcPr>
          <w:p>
            <w:pPr>
              <w:pStyle w:val="0"/>
              <w:jc w:val="center"/>
            </w:pPr>
            <w:r>
              <w:rPr>
                <w:sz w:val="24"/>
              </w:rPr>
              <w:t xml:space="preserve">(Наименование страховой медицинской организации, в которой лицо застраховано на дату подачи заявления (при подаче заявления в иную организацию)</w:t>
            </w:r>
          </w:p>
        </w:tc>
      </w:tr>
      <w:tr>
        <w:tblPrEx>
          <w:tblBorders>
            <w:insideV w:val="nil"/>
            <w:insideH w:val="nil"/>
          </w:tblBorders>
        </w:tblPrEx>
        <w:tc>
          <w:tcPr>
            <w:gridSpan w:val="8"/>
            <w:tcW w:w="4307" w:type="dxa"/>
            <w:tcBorders>
              <w:top w:val="nil"/>
              <w:bottom w:val="nil"/>
            </w:tcBorders>
            <w:vMerge w:val="restart"/>
          </w:tcPr>
          <w:p>
            <w:pPr>
              <w:pStyle w:val="0"/>
            </w:pPr>
            <w:r>
              <w:rPr>
                <w:sz w:val="24"/>
              </w:rPr>
              <w:t xml:space="preserve">С условиями обязательного медицинского страхования ознакомлен</w:t>
            </w:r>
          </w:p>
        </w:tc>
        <w:tc>
          <w:tcPr>
            <w:gridSpan w:val="11"/>
            <w:tcW w:w="4874" w:type="dxa"/>
            <w:vAlign w:val="bottom"/>
            <w:tcBorders>
              <w:top w:val="nil"/>
              <w:bottom w:val="nil"/>
            </w:tcBorders>
          </w:tcPr>
          <w:p>
            <w:pPr>
              <w:pStyle w:val="0"/>
              <w:jc w:val="center"/>
            </w:pPr>
            <w:r>
              <w:drawing>
                <wp:inline distT="0" distB="0" distL="0" distR="0">
                  <wp:extent cx="1704340" cy="14605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69">
                            <a:extLst>
                              <a:ext uri="{28A0092B-C50C-407E-A947-70E740481C1C}">
                                <a14:useLocalDpi xmlns:a14="http://schemas.microsoft.com/office/drawing/2010/main" val="0"/>
                              </a:ext>
                            </a:extLst>
                          </a:blip>
                          <a:srcRect/>
                          <a:stretch>
                            <a:fillRect/>
                          </a:stretch>
                        </pic:blipFill>
                        <pic:spPr bwMode="auto">
                          <a:xfrm>
                            <a:off x="0" y="0"/>
                            <a:ext cx="1704340" cy="146050"/>
                          </a:xfrm>
                          <a:prstGeom prst="rect">
                            <a:avLst/>
                          </a:prstGeom>
                          <a:noFill/>
                          <a:ln>
                            <a:noFill/>
                          </a:ln>
                        </pic:spPr>
                      </pic:pic>
                    </a:graphicData>
                  </a:graphic>
                </wp:inline>
              </w:drawing>
            </w:r>
          </w:p>
        </w:tc>
      </w:tr>
      <w:tr>
        <w:tblPrEx>
          <w:tblBorders>
            <w:insideV w:val="nil"/>
            <w:insideH w:val="nil"/>
          </w:tblBorders>
        </w:tblPrEx>
        <w:tc>
          <w:tcPr>
            <w:gridSpan w:val="8"/>
            <w:tcBorders>
              <w:top w:val="nil"/>
              <w:bottom w:val="nil"/>
            </w:tcBorders>
            <w:vMerge w:val="continue"/>
          </w:tcPr>
          <w:p/>
        </w:tc>
        <w:tc>
          <w:tcPr>
            <w:gridSpan w:val="11"/>
            <w:tcW w:w="4874" w:type="dxa"/>
            <w:tcBorders>
              <w:top w:val="nil"/>
              <w:bottom w:val="nil"/>
            </w:tcBorders>
          </w:tcPr>
          <w:p>
            <w:pPr>
              <w:pStyle w:val="0"/>
              <w:jc w:val="center"/>
            </w:pPr>
            <w:r>
              <w:rPr>
                <w:sz w:val="24"/>
              </w:rPr>
              <w:t xml:space="preserve">(подпись застрахованного лица или его представителя)</w:t>
            </w:r>
          </w:p>
        </w:tc>
      </w:tr>
    </w:tbl>
    <w:p>
      <w:pPr>
        <w:pStyle w:val="0"/>
        <w:jc w:val="both"/>
      </w:pPr>
      <w:r>
        <w:rPr>
          <w:sz w:val="24"/>
        </w:rPr>
      </w:r>
    </w:p>
    <w:p>
      <w:pPr>
        <w:pStyle w:val="1"/>
        <w:jc w:val="both"/>
      </w:pPr>
      <w:r>
        <w:rPr>
          <w:sz w:val="20"/>
        </w:rPr>
        <w:t xml:space="preserve">    --------------------------------</w:t>
      </w:r>
    </w:p>
    <w:bookmarkStart w:id="1667" w:name="P1667"/>
    <w:bookmarkEnd w:id="1667"/>
    <w:p>
      <w:pPr>
        <w:pStyle w:val="1"/>
        <w:jc w:val="both"/>
      </w:pPr>
      <w:r>
        <w:rPr>
          <w:sz w:val="20"/>
        </w:rPr>
        <w:t xml:space="preserve">    &lt;1&gt; При заполнении заявления исправления не допускаются.</w:t>
      </w:r>
    </w:p>
    <w:bookmarkStart w:id="1668" w:name="P1668"/>
    <w:bookmarkEnd w:id="1668"/>
    <w:p>
      <w:pPr>
        <w:pStyle w:val="1"/>
        <w:jc w:val="both"/>
      </w:pPr>
      <w:r>
        <w:rPr>
          <w:sz w:val="20"/>
        </w:rPr>
        <w:t xml:space="preserve">    &lt;2&gt;  Заполняется  с ранее полученного полиса обязательного медицинского</w:t>
      </w:r>
    </w:p>
    <w:p>
      <w:pPr>
        <w:pStyle w:val="1"/>
        <w:jc w:val="both"/>
      </w:pPr>
      <w:r>
        <w:rPr>
          <w:sz w:val="20"/>
        </w:rPr>
        <w:t xml:space="preserve">страхования единого образца.</w:t>
      </w:r>
    </w:p>
    <w:bookmarkStart w:id="1670" w:name="P1670"/>
    <w:bookmarkEnd w:id="1670"/>
    <w:p>
      <w:pPr>
        <w:pStyle w:val="1"/>
        <w:jc w:val="both"/>
      </w:pPr>
      <w:r>
        <w:rPr>
          <w:sz w:val="20"/>
        </w:rPr>
        <w:t xml:space="preserve">    &lt;3&gt;  Отмечается  знаком  "V",  если  полис  обязательного  медицинского</w:t>
      </w:r>
    </w:p>
    <w:p>
      <w:pPr>
        <w:pStyle w:val="1"/>
        <w:jc w:val="both"/>
      </w:pPr>
      <w:r>
        <w:rPr>
          <w:sz w:val="20"/>
        </w:rPr>
        <w:t xml:space="preserve">страхования единого образца гражданину ранее не выдавался.</w:t>
      </w:r>
    </w:p>
    <w:p>
      <w:pPr>
        <w:pStyle w:val="1"/>
        <w:jc w:val="both"/>
      </w:pPr>
      <w:r>
        <w:rPr>
          <w:sz w:val="20"/>
        </w:rPr>
      </w:r>
    </w:p>
    <w:p>
      <w:pPr>
        <w:pStyle w:val="1"/>
        <w:jc w:val="both"/>
      </w:pPr>
      <w:r>
        <w:rPr>
          <w:sz w:val="20"/>
        </w:rPr>
        <w:t xml:space="preserve">                    УЧЕТНЫЕ ДАННЫЕ ЗАСТРАХОВАННОГО ЛИЦА</w:t>
      </w:r>
    </w:p>
    <w:p>
      <w:pPr>
        <w:pStyle w:val="1"/>
        <w:jc w:val="both"/>
      </w:pPr>
      <w:r>
        <w:rPr>
          <w:sz w:val="20"/>
        </w:rPr>
      </w:r>
    </w:p>
    <w:p>
      <w:pPr>
        <w:pStyle w:val="1"/>
        <w:jc w:val="both"/>
      </w:pPr>
      <w:r>
        <w:rPr>
          <w:sz w:val="20"/>
        </w:rPr>
        <w:t xml:space="preserve">                     1. Сведения о застрахованном лице</w:t>
      </w:r>
    </w:p>
    <w:p>
      <w:pPr>
        <w:pStyle w:val="1"/>
        <w:jc w:val="both"/>
      </w:pPr>
      <w:r>
        <w:rPr>
          <w:sz w:val="20"/>
        </w:rPr>
      </w:r>
    </w:p>
    <w:p>
      <w:pPr>
        <w:pStyle w:val="1"/>
        <w:jc w:val="both"/>
      </w:pPr>
      <w:r>
        <w:rPr>
          <w:sz w:val="20"/>
        </w:rPr>
        <w:t xml:space="preserve">1.1 Фамилия _________________________ 1.2 Имя _____________________________</w:t>
      </w:r>
    </w:p>
    <w:p>
      <w:pPr>
        <w:pStyle w:val="1"/>
        <w:jc w:val="both"/>
      </w:pPr>
      <w:r>
        <w:rPr>
          <w:sz w:val="20"/>
        </w:rPr>
        <w:t xml:space="preserve">         (указывается в точном соответствии с записью в документе,</w:t>
      </w:r>
    </w:p>
    <w:p>
      <w:pPr>
        <w:pStyle w:val="1"/>
        <w:jc w:val="both"/>
      </w:pPr>
      <w:r>
        <w:rPr>
          <w:sz w:val="20"/>
        </w:rPr>
        <w:t xml:space="preserve">                       удостоверяющем личность </w:t>
      </w:r>
      <w:hyperlink w:history="0" w:anchor="P1920" w:tooltip="&lt;1&gt; Для ребенка в возрасте до 14 лет - свидетельство о рождении.">
        <w:r>
          <w:rPr>
            <w:sz w:val="20"/>
            <w:color w:val="0000ff"/>
          </w:rPr>
          <w:t xml:space="preserve">&lt;1&gt;</w:t>
        </w:r>
      </w:hyperlink>
      <w:r>
        <w:rPr>
          <w:sz w:val="20"/>
        </w:rPr>
        <w:t xml:space="preserve">)            ┌─┐      ┌─┐</w:t>
      </w:r>
    </w:p>
    <w:p>
      <w:pPr>
        <w:pStyle w:val="1"/>
        <w:jc w:val="both"/>
      </w:pPr>
      <w:r>
        <w:rPr>
          <w:sz w:val="20"/>
        </w:rPr>
        <w:t xml:space="preserve">1.3 Отчество (при наличии) </w:t>
      </w:r>
      <w:hyperlink w:history="0" w:anchor="P1921" w:tooltip="&lt;2&gt; При отсутствии отчества в документе, удостоверяющем личность, в графе отчество ставится прочерк.">
        <w:r>
          <w:rPr>
            <w:sz w:val="20"/>
            <w:color w:val="0000ff"/>
          </w:rPr>
          <w:t xml:space="preserve">&lt;2&gt;</w:t>
        </w:r>
      </w:hyperlink>
      <w:r>
        <w:rPr>
          <w:sz w:val="20"/>
        </w:rPr>
        <w:t xml:space="preserve"> ________________  1.4 Пол: муж. │ │ жен. │ │</w:t>
      </w:r>
    </w:p>
    <w:p>
      <w:pPr>
        <w:pStyle w:val="1"/>
        <w:jc w:val="both"/>
      </w:pPr>
      <w:r>
        <w:rPr>
          <w:sz w:val="20"/>
        </w:rPr>
        <w:t xml:space="preserve">   (указывается в точном соответствии с записью                └─┘      └─┘</w:t>
      </w:r>
    </w:p>
    <w:p>
      <w:pPr>
        <w:pStyle w:val="1"/>
        <w:jc w:val="both"/>
      </w:pPr>
      <w:r>
        <w:rPr>
          <w:sz w:val="20"/>
        </w:rPr>
        <w:t xml:space="preserve">      в документе, удостоверяющем личность)                (нужное отметить</w:t>
      </w:r>
    </w:p>
    <w:p>
      <w:pPr>
        <w:pStyle w:val="1"/>
        <w:jc w:val="both"/>
      </w:pPr>
      <w:r>
        <w:rPr>
          <w:sz w:val="20"/>
        </w:rPr>
        <w:t xml:space="preserve">                                                              знаком "V")</w:t>
      </w:r>
    </w:p>
    <w:p>
      <w:pPr>
        <w:pStyle w:val="1"/>
        <w:jc w:val="both"/>
      </w:pPr>
      <w:r>
        <w:rPr>
          <w:sz w:val="20"/>
        </w:rPr>
        <w:t xml:space="preserve">1.5 Категория застрахованного лица (нужное отметить знаком "V):</w:t>
      </w:r>
    </w:p>
    <w:p>
      <w:pPr>
        <w:pStyle w:val="0"/>
        <w:jc w:val="both"/>
      </w:pPr>
      <w:r>
        <w:rPr>
          <w:sz w:val="24"/>
        </w:rPr>
      </w:r>
    </w:p>
    <w:tbl>
      <w:tblPr>
        <w:tblInd w:w="0" w:type="dxa"/>
        <w:tblLayout w:type="fixed"/>
        <w:tblBorders>
          <w:left w:val="single" w:sz="4"/>
          <w:insideV w:val="single" w:sz="4"/>
        </w:tblBorders>
        <w:tblCellMar>
          <w:top w:w="102" w:type="dxa"/>
          <w:left w:w="62" w:type="dxa"/>
          <w:bottom w:w="102" w:type="dxa"/>
          <w:right w:w="62" w:type="dxa"/>
        </w:tblCellMar>
      </w:tblPr>
      <w:tblGrid>
        <w:gridCol w:w="396"/>
        <w:gridCol w:w="3911"/>
        <w:gridCol w:w="396"/>
        <w:gridCol w:w="396"/>
        <w:gridCol w:w="3968"/>
      </w:tblGrid>
      <w:tr>
        <w:tc>
          <w:tcPr>
            <w:tcW w:w="396" w:type="dxa"/>
            <w:tcBorders>
              <w:top w:val="single" w:sz="4"/>
              <w:bottom w:val="single" w:sz="4"/>
            </w:tcBorders>
          </w:tcPr>
          <w:p>
            <w:pPr>
              <w:pStyle w:val="0"/>
            </w:pPr>
            <w:r>
              <w:rPr>
                <w:sz w:val="24"/>
              </w:rPr>
            </w:r>
          </w:p>
        </w:tc>
        <w:tc>
          <w:tcPr>
            <w:tcW w:w="3911" w:type="dxa"/>
            <w:vAlign w:val="center"/>
            <w:tcBorders>
              <w:top w:val="nil"/>
              <w:bottom w:val="nil"/>
              <w:right w:val="nil"/>
            </w:tcBorders>
          </w:tcPr>
          <w:p>
            <w:pPr>
              <w:pStyle w:val="0"/>
              <w:jc w:val="both"/>
            </w:pPr>
            <w:r>
              <w:rPr>
                <w:sz w:val="24"/>
              </w:rPr>
              <w:t xml:space="preserve">1) работающий гражданин Российской Федерации;</w:t>
            </w:r>
          </w:p>
        </w:tc>
        <w:tc>
          <w:tcPr>
            <w:tcW w:w="396" w:type="dxa"/>
            <w:vAlign w:val="center"/>
            <w:tcBorders>
              <w:top w:val="nil"/>
              <w:left w:val="nil"/>
              <w:bottom w:val="nil"/>
            </w:tcBorders>
          </w:tcPr>
          <w:p>
            <w:pPr>
              <w:pStyle w:val="0"/>
            </w:pPr>
            <w:r>
              <w:rPr>
                <w:sz w:val="24"/>
              </w:rPr>
            </w:r>
          </w:p>
        </w:tc>
        <w:tc>
          <w:tcPr>
            <w:tcW w:w="396" w:type="dxa"/>
            <w:vAlign w:val="center"/>
            <w:tcBorders>
              <w:top w:val="single" w:sz="4"/>
              <w:bottom w:val="single" w:sz="4"/>
            </w:tcBorders>
          </w:tcPr>
          <w:p>
            <w:pPr>
              <w:pStyle w:val="0"/>
            </w:pPr>
            <w:r>
              <w:rPr>
                <w:sz w:val="24"/>
              </w:rPr>
            </w:r>
          </w:p>
        </w:tc>
        <w:tc>
          <w:tcPr>
            <w:tcW w:w="3968" w:type="dxa"/>
            <w:vAlign w:val="center"/>
            <w:tcBorders>
              <w:top w:val="nil"/>
              <w:bottom w:val="nil"/>
              <w:right w:val="nil"/>
            </w:tcBorders>
          </w:tcPr>
          <w:p>
            <w:pPr>
              <w:pStyle w:val="0"/>
              <w:jc w:val="both"/>
            </w:pPr>
            <w:r>
              <w:rPr>
                <w:sz w:val="24"/>
              </w:rPr>
              <w:t xml:space="preserve">9) неработающее лицо без гражданства;</w:t>
            </w:r>
          </w:p>
        </w:tc>
      </w:tr>
      <w:tr>
        <w:tc>
          <w:tcPr>
            <w:tcW w:w="396" w:type="dxa"/>
            <w:tcBorders>
              <w:top w:val="single" w:sz="4"/>
              <w:bottom w:val="single" w:sz="4"/>
            </w:tcBorders>
          </w:tcPr>
          <w:p>
            <w:pPr>
              <w:pStyle w:val="0"/>
            </w:pPr>
            <w:r>
              <w:rPr>
                <w:sz w:val="24"/>
              </w:rPr>
            </w:r>
          </w:p>
        </w:tc>
        <w:tc>
          <w:tcPr>
            <w:tcW w:w="3911" w:type="dxa"/>
            <w:vAlign w:val="center"/>
            <w:tcBorders>
              <w:top w:val="nil"/>
              <w:bottom w:val="nil"/>
              <w:right w:val="nil"/>
            </w:tcBorders>
          </w:tcPr>
          <w:p>
            <w:pPr>
              <w:pStyle w:val="0"/>
              <w:jc w:val="both"/>
            </w:pPr>
            <w:r>
              <w:rPr>
                <w:sz w:val="24"/>
              </w:rPr>
              <w:t xml:space="preserve">2) работающий постоянно проживающий в Российской Федерации иностранный гражданин;</w:t>
            </w:r>
          </w:p>
        </w:tc>
        <w:tc>
          <w:tcPr>
            <w:tcW w:w="396" w:type="dxa"/>
            <w:vAlign w:val="center"/>
            <w:tcBorders>
              <w:top w:val="nil"/>
              <w:left w:val="nil"/>
              <w:bottom w:val="nil"/>
            </w:tcBorders>
          </w:tcPr>
          <w:p>
            <w:pPr>
              <w:pStyle w:val="0"/>
            </w:pPr>
            <w:r>
              <w:rPr>
                <w:sz w:val="24"/>
              </w:rPr>
            </w:r>
          </w:p>
        </w:tc>
        <w:tc>
          <w:tcPr>
            <w:tcW w:w="396" w:type="dxa"/>
            <w:vAlign w:val="center"/>
            <w:tcBorders>
              <w:top w:val="single" w:sz="4"/>
              <w:bottom w:val="single" w:sz="4"/>
            </w:tcBorders>
          </w:tcPr>
          <w:p>
            <w:pPr>
              <w:pStyle w:val="0"/>
            </w:pPr>
            <w:r>
              <w:rPr>
                <w:sz w:val="24"/>
              </w:rPr>
            </w:r>
          </w:p>
        </w:tc>
        <w:tc>
          <w:tcPr>
            <w:tcW w:w="3968" w:type="dxa"/>
            <w:vAlign w:val="center"/>
            <w:tcBorders>
              <w:top w:val="nil"/>
              <w:bottom w:val="nil"/>
              <w:right w:val="nil"/>
            </w:tcBorders>
          </w:tcPr>
          <w:p>
            <w:pPr>
              <w:pStyle w:val="0"/>
              <w:jc w:val="both"/>
            </w:pPr>
            <w:r>
              <w:rPr>
                <w:sz w:val="24"/>
              </w:rPr>
              <w:t xml:space="preserve">10) неработающее лицо, имеющее право на медицинскую помощь в соответствии с Федеральным </w:t>
            </w:r>
            <w:hyperlink w:history="0" r:id="rId270" w:tooltip="Федеральный закон от 19.02.1993 N 4528-1 (ред. от 23.07.2025) &quot;О беженцах&quot; {КонсультантПлюс}">
              <w:r>
                <w:rPr>
                  <w:sz w:val="24"/>
                  <w:color w:val="0000ff"/>
                </w:rPr>
                <w:t xml:space="preserve">законом</w:t>
              </w:r>
            </w:hyperlink>
            <w:r>
              <w:rPr>
                <w:sz w:val="24"/>
              </w:rPr>
              <w:t xml:space="preserve"> "О беженцах";</w:t>
            </w:r>
          </w:p>
        </w:tc>
      </w:tr>
      <w:tr>
        <w:tc>
          <w:tcPr>
            <w:tcW w:w="396" w:type="dxa"/>
            <w:tcBorders>
              <w:top w:val="single" w:sz="4"/>
              <w:bottom w:val="single" w:sz="4"/>
            </w:tcBorders>
          </w:tcPr>
          <w:p>
            <w:pPr>
              <w:pStyle w:val="0"/>
            </w:pPr>
            <w:r>
              <w:rPr>
                <w:sz w:val="24"/>
              </w:rPr>
            </w:r>
          </w:p>
        </w:tc>
        <w:tc>
          <w:tcPr>
            <w:tcW w:w="3911" w:type="dxa"/>
            <w:vAlign w:val="center"/>
            <w:tcBorders>
              <w:top w:val="nil"/>
              <w:bottom w:val="nil"/>
              <w:right w:val="nil"/>
            </w:tcBorders>
          </w:tcPr>
          <w:p>
            <w:pPr>
              <w:pStyle w:val="0"/>
              <w:jc w:val="both"/>
            </w:pPr>
            <w:r>
              <w:rPr>
                <w:sz w:val="24"/>
              </w:rPr>
              <w:t xml:space="preserve">3) работающий временно проживающий в Российской Федерации иностранный гражданин;</w:t>
            </w:r>
          </w:p>
        </w:tc>
        <w:tc>
          <w:tcPr>
            <w:tcW w:w="396" w:type="dxa"/>
            <w:vAlign w:val="center"/>
            <w:tcBorders>
              <w:top w:val="nil"/>
              <w:left w:val="nil"/>
              <w:bottom w:val="nil"/>
            </w:tcBorders>
          </w:tcPr>
          <w:p>
            <w:pPr>
              <w:pStyle w:val="0"/>
            </w:pPr>
            <w:r>
              <w:rPr>
                <w:sz w:val="24"/>
              </w:rPr>
            </w:r>
          </w:p>
        </w:tc>
        <w:tc>
          <w:tcPr>
            <w:tcW w:w="396" w:type="dxa"/>
            <w:vAlign w:val="center"/>
            <w:tcBorders>
              <w:top w:val="single" w:sz="4"/>
              <w:bottom w:val="single" w:sz="4"/>
            </w:tcBorders>
          </w:tcPr>
          <w:p>
            <w:pPr>
              <w:pStyle w:val="0"/>
            </w:pPr>
            <w:r>
              <w:rPr>
                <w:sz w:val="24"/>
              </w:rPr>
            </w:r>
          </w:p>
        </w:tc>
        <w:tc>
          <w:tcPr>
            <w:tcW w:w="3968" w:type="dxa"/>
            <w:vAlign w:val="center"/>
            <w:tcBorders>
              <w:top w:val="nil"/>
              <w:bottom w:val="nil"/>
              <w:right w:val="nil"/>
            </w:tcBorders>
          </w:tcPr>
          <w:p>
            <w:pPr>
              <w:pStyle w:val="0"/>
              <w:jc w:val="both"/>
            </w:pPr>
            <w:r>
              <w:rPr>
                <w:sz w:val="24"/>
              </w:rPr>
              <w:t xml:space="preserve">11) временно пребывающий на территории Российской Федерации в соответствии с </w:t>
            </w:r>
            <w:hyperlink w:history="0" r:id="rId271" w:tooltip="&quot;Договор о Евразийском экономическом союзе&quot; (Подписан в г. Астане 29.05.2014) (ред. от 25.05.2023) (с изм. и доп., вступ. в силу с 24.06.2024) {КонсультантПлюс}">
              <w:r>
                <w:rPr>
                  <w:sz w:val="24"/>
                  <w:color w:val="0000ff"/>
                </w:rPr>
                <w:t xml:space="preserve">договором</w:t>
              </w:r>
            </w:hyperlink>
            <w:r>
              <w:rPr>
                <w:sz w:val="24"/>
              </w:rPr>
              <w:t xml:space="preserve"> о Евразийском экономическом союзе, подписанным в г. Астане 29 мая 2014 г. (далее - договор о ЕАЭС) трудящийся иностранный гражданин государств - членов ЕАЭС;</w:t>
            </w:r>
          </w:p>
        </w:tc>
      </w:tr>
      <w:tr>
        <w:tc>
          <w:tcPr>
            <w:tcW w:w="396" w:type="dxa"/>
            <w:tcBorders>
              <w:top w:val="single" w:sz="4"/>
              <w:bottom w:val="single" w:sz="4"/>
            </w:tcBorders>
          </w:tcPr>
          <w:p>
            <w:pPr>
              <w:pStyle w:val="0"/>
            </w:pPr>
            <w:r>
              <w:rPr>
                <w:sz w:val="24"/>
              </w:rPr>
            </w:r>
          </w:p>
        </w:tc>
        <w:tc>
          <w:tcPr>
            <w:tcW w:w="3911" w:type="dxa"/>
            <w:vAlign w:val="center"/>
            <w:tcBorders>
              <w:top w:val="nil"/>
              <w:bottom w:val="nil"/>
              <w:right w:val="nil"/>
            </w:tcBorders>
          </w:tcPr>
          <w:p>
            <w:pPr>
              <w:pStyle w:val="0"/>
              <w:jc w:val="both"/>
            </w:pPr>
            <w:r>
              <w:rPr>
                <w:sz w:val="24"/>
              </w:rPr>
              <w:t xml:space="preserve">4) работающее лицо без гражданства;</w:t>
            </w:r>
          </w:p>
        </w:tc>
        <w:tc>
          <w:tcPr>
            <w:tcW w:w="396" w:type="dxa"/>
            <w:vAlign w:val="center"/>
            <w:tcBorders>
              <w:top w:val="nil"/>
              <w:left w:val="nil"/>
              <w:bottom w:val="nil"/>
            </w:tcBorders>
          </w:tcPr>
          <w:p>
            <w:pPr>
              <w:pStyle w:val="0"/>
            </w:pPr>
            <w:r>
              <w:rPr>
                <w:sz w:val="24"/>
              </w:rPr>
            </w:r>
          </w:p>
        </w:tc>
        <w:tc>
          <w:tcPr>
            <w:tcW w:w="396" w:type="dxa"/>
            <w:vAlign w:val="center"/>
            <w:tcBorders>
              <w:top w:val="single" w:sz="4"/>
              <w:bottom w:val="single" w:sz="4"/>
            </w:tcBorders>
          </w:tcPr>
          <w:p>
            <w:pPr>
              <w:pStyle w:val="0"/>
            </w:pPr>
            <w:r>
              <w:rPr>
                <w:sz w:val="24"/>
              </w:rPr>
            </w:r>
          </w:p>
        </w:tc>
        <w:tc>
          <w:tcPr>
            <w:tcW w:w="3968" w:type="dxa"/>
            <w:vAlign w:val="center"/>
            <w:tcBorders>
              <w:top w:val="nil"/>
              <w:bottom w:val="nil"/>
              <w:right w:val="nil"/>
            </w:tcBorders>
          </w:tcPr>
          <w:p>
            <w:pPr>
              <w:pStyle w:val="0"/>
              <w:jc w:val="both"/>
            </w:pPr>
            <w:r>
              <w:rPr>
                <w:sz w:val="24"/>
              </w:rPr>
              <w:t xml:space="preserve">12) член Коллегии Евразийской экономической комиссии (далее - Комиссия);</w:t>
            </w:r>
          </w:p>
        </w:tc>
      </w:tr>
      <w:tr>
        <w:tc>
          <w:tcPr>
            <w:tcW w:w="396" w:type="dxa"/>
            <w:tcBorders>
              <w:top w:val="single" w:sz="4"/>
              <w:bottom w:val="single" w:sz="4"/>
            </w:tcBorders>
          </w:tcPr>
          <w:p>
            <w:pPr>
              <w:pStyle w:val="0"/>
            </w:pPr>
            <w:r>
              <w:rPr>
                <w:sz w:val="24"/>
              </w:rPr>
            </w:r>
          </w:p>
        </w:tc>
        <w:tc>
          <w:tcPr>
            <w:tcW w:w="3911" w:type="dxa"/>
            <w:vAlign w:val="center"/>
            <w:tcBorders>
              <w:top w:val="nil"/>
              <w:bottom w:val="nil"/>
              <w:right w:val="nil"/>
            </w:tcBorders>
          </w:tcPr>
          <w:p>
            <w:pPr>
              <w:pStyle w:val="0"/>
              <w:jc w:val="both"/>
            </w:pPr>
            <w:r>
              <w:rPr>
                <w:sz w:val="24"/>
              </w:rPr>
              <w:t xml:space="preserve">5) работающее лицо, имеющее право на медицинскую помощь в соответствии с Федеральным </w:t>
            </w:r>
            <w:hyperlink w:history="0" r:id="rId272" w:tooltip="Федеральный закон от 19.02.1993 N 4528-1 (ред. от 23.07.2025) &quot;О беженцах&quot; {КонсультантПлюс}">
              <w:r>
                <w:rPr>
                  <w:sz w:val="24"/>
                  <w:color w:val="0000ff"/>
                </w:rPr>
                <w:t xml:space="preserve">законом</w:t>
              </w:r>
            </w:hyperlink>
            <w:r>
              <w:rPr>
                <w:sz w:val="24"/>
              </w:rPr>
              <w:t xml:space="preserve"> от 19 февраля 1993 г. N 4528-1 "О беженцах" (далее - Федеральный закон "О беженцах");</w:t>
            </w:r>
          </w:p>
        </w:tc>
        <w:tc>
          <w:tcPr>
            <w:tcW w:w="396" w:type="dxa"/>
            <w:vAlign w:val="center"/>
            <w:tcBorders>
              <w:top w:val="nil"/>
              <w:left w:val="nil"/>
              <w:bottom w:val="nil"/>
            </w:tcBorders>
          </w:tcPr>
          <w:p>
            <w:pPr>
              <w:pStyle w:val="0"/>
            </w:pPr>
            <w:r>
              <w:rPr>
                <w:sz w:val="24"/>
              </w:rPr>
            </w:r>
          </w:p>
        </w:tc>
        <w:tc>
          <w:tcPr>
            <w:tcW w:w="396" w:type="dxa"/>
            <w:vAlign w:val="center"/>
            <w:tcBorders>
              <w:top w:val="single" w:sz="4"/>
              <w:bottom w:val="single" w:sz="4"/>
            </w:tcBorders>
          </w:tcPr>
          <w:p>
            <w:pPr>
              <w:pStyle w:val="0"/>
            </w:pPr>
            <w:r>
              <w:rPr>
                <w:sz w:val="24"/>
              </w:rPr>
            </w:r>
          </w:p>
        </w:tc>
        <w:tc>
          <w:tcPr>
            <w:tcW w:w="3968" w:type="dxa"/>
            <w:vAlign w:val="center"/>
            <w:tcBorders>
              <w:top w:val="nil"/>
              <w:bottom w:val="nil"/>
              <w:right w:val="nil"/>
            </w:tcBorders>
          </w:tcPr>
          <w:p>
            <w:pPr>
              <w:pStyle w:val="0"/>
              <w:jc w:val="both"/>
            </w:pPr>
            <w:r>
              <w:rPr>
                <w:sz w:val="24"/>
              </w:rPr>
              <w:t xml:space="preserve">13) должностное лицо Комиссии;</w:t>
            </w:r>
          </w:p>
        </w:tc>
      </w:tr>
      <w:tr>
        <w:tc>
          <w:tcPr>
            <w:tcW w:w="396" w:type="dxa"/>
            <w:tcBorders>
              <w:top w:val="single" w:sz="4"/>
              <w:bottom w:val="single" w:sz="4"/>
            </w:tcBorders>
          </w:tcPr>
          <w:p>
            <w:pPr>
              <w:pStyle w:val="0"/>
            </w:pPr>
            <w:r>
              <w:rPr>
                <w:sz w:val="24"/>
              </w:rPr>
            </w:r>
          </w:p>
        </w:tc>
        <w:tc>
          <w:tcPr>
            <w:tcW w:w="3911" w:type="dxa"/>
            <w:vAlign w:val="center"/>
            <w:tcBorders>
              <w:top w:val="nil"/>
              <w:bottom w:val="nil"/>
              <w:right w:val="nil"/>
            </w:tcBorders>
          </w:tcPr>
          <w:p>
            <w:pPr>
              <w:pStyle w:val="0"/>
              <w:jc w:val="both"/>
            </w:pPr>
            <w:r>
              <w:rPr>
                <w:sz w:val="24"/>
              </w:rPr>
              <w:t xml:space="preserve">6) неработающий гражданин Российской Федерации;</w:t>
            </w:r>
          </w:p>
        </w:tc>
        <w:tc>
          <w:tcPr>
            <w:tcW w:w="396" w:type="dxa"/>
            <w:vAlign w:val="center"/>
            <w:tcBorders>
              <w:top w:val="nil"/>
              <w:left w:val="nil"/>
              <w:bottom w:val="nil"/>
            </w:tcBorders>
          </w:tcPr>
          <w:p>
            <w:pPr>
              <w:pStyle w:val="0"/>
            </w:pPr>
            <w:r>
              <w:rPr>
                <w:sz w:val="24"/>
              </w:rPr>
            </w:r>
          </w:p>
        </w:tc>
        <w:tc>
          <w:tcPr>
            <w:tcW w:w="396" w:type="dxa"/>
            <w:vAlign w:val="center"/>
            <w:tcBorders>
              <w:top w:val="single" w:sz="4"/>
              <w:bottom w:val="single" w:sz="4"/>
            </w:tcBorders>
          </w:tcPr>
          <w:p>
            <w:pPr>
              <w:pStyle w:val="0"/>
            </w:pPr>
            <w:r>
              <w:rPr>
                <w:sz w:val="24"/>
              </w:rPr>
            </w:r>
          </w:p>
        </w:tc>
        <w:tc>
          <w:tcPr>
            <w:tcW w:w="3968" w:type="dxa"/>
            <w:vAlign w:val="center"/>
            <w:tcBorders>
              <w:top w:val="nil"/>
              <w:bottom w:val="nil"/>
              <w:right w:val="nil"/>
            </w:tcBorders>
          </w:tcPr>
          <w:p>
            <w:pPr>
              <w:pStyle w:val="0"/>
              <w:jc w:val="both"/>
            </w:pPr>
            <w:r>
              <w:rPr>
                <w:sz w:val="24"/>
              </w:rPr>
              <w:t xml:space="preserve">14) сотрудник органа ЕАЭС, находящийся на территории Российской Федерации.</w:t>
            </w:r>
          </w:p>
        </w:tc>
      </w:tr>
      <w:tr>
        <w:tc>
          <w:tcPr>
            <w:tcW w:w="396" w:type="dxa"/>
            <w:tcBorders>
              <w:top w:val="single" w:sz="4"/>
              <w:bottom w:val="single" w:sz="4"/>
            </w:tcBorders>
          </w:tcPr>
          <w:p>
            <w:pPr>
              <w:pStyle w:val="0"/>
            </w:pPr>
            <w:r>
              <w:rPr>
                <w:sz w:val="24"/>
              </w:rPr>
            </w:r>
          </w:p>
        </w:tc>
        <w:tc>
          <w:tcPr>
            <w:tcW w:w="3911" w:type="dxa"/>
            <w:vAlign w:val="center"/>
            <w:tcBorders>
              <w:top w:val="nil"/>
              <w:bottom w:val="nil"/>
              <w:right w:val="nil"/>
            </w:tcBorders>
          </w:tcPr>
          <w:p>
            <w:pPr>
              <w:pStyle w:val="0"/>
              <w:jc w:val="both"/>
            </w:pPr>
            <w:r>
              <w:rPr>
                <w:sz w:val="24"/>
              </w:rPr>
              <w:t xml:space="preserve">7) неработающий постоянно проживающий в Российской Федерации иностранный гражданин;</w:t>
            </w:r>
          </w:p>
        </w:tc>
        <w:tc>
          <w:tcPr>
            <w:tcW w:w="396" w:type="dxa"/>
            <w:vAlign w:val="center"/>
            <w:tcBorders>
              <w:top w:val="nil"/>
              <w:left w:val="nil"/>
              <w:bottom w:val="nil"/>
            </w:tcBorders>
          </w:tcPr>
          <w:p>
            <w:pPr>
              <w:pStyle w:val="0"/>
            </w:pPr>
            <w:r>
              <w:rPr>
                <w:sz w:val="24"/>
              </w:rPr>
            </w:r>
          </w:p>
        </w:tc>
        <w:tc>
          <w:tcPr>
            <w:tcW w:w="396" w:type="dxa"/>
            <w:vAlign w:val="center"/>
            <w:tcBorders>
              <w:top w:val="single" w:sz="4"/>
              <w:bottom w:val="single" w:sz="4"/>
            </w:tcBorders>
          </w:tcPr>
          <w:p>
            <w:pPr>
              <w:pStyle w:val="0"/>
            </w:pPr>
            <w:r>
              <w:rPr>
                <w:sz w:val="24"/>
              </w:rPr>
            </w:r>
          </w:p>
        </w:tc>
        <w:tc>
          <w:tcPr>
            <w:tcW w:w="3968" w:type="dxa"/>
            <w:vAlign w:val="center"/>
            <w:tcBorders>
              <w:top w:val="nil"/>
              <w:bottom w:val="nil"/>
              <w:right w:val="nil"/>
            </w:tcBorders>
          </w:tcPr>
          <w:p>
            <w:pPr>
              <w:pStyle w:val="0"/>
              <w:jc w:val="both"/>
            </w:pPr>
            <w:r>
              <w:rPr>
                <w:sz w:val="24"/>
              </w:rPr>
              <w:t xml:space="preserve">15) Гражданин Российской Федерации, постоянно проживающий на территории Республики Абхазия;</w:t>
            </w:r>
          </w:p>
        </w:tc>
      </w:tr>
      <w:tr>
        <w:tc>
          <w:tcPr>
            <w:tcW w:w="396" w:type="dxa"/>
            <w:tcBorders>
              <w:top w:val="single" w:sz="4"/>
              <w:bottom w:val="single" w:sz="4"/>
            </w:tcBorders>
          </w:tcPr>
          <w:p>
            <w:pPr>
              <w:pStyle w:val="0"/>
            </w:pPr>
            <w:r>
              <w:rPr>
                <w:sz w:val="24"/>
              </w:rPr>
            </w:r>
          </w:p>
        </w:tc>
        <w:tc>
          <w:tcPr>
            <w:tcW w:w="3911" w:type="dxa"/>
            <w:vAlign w:val="center"/>
            <w:tcBorders>
              <w:top w:val="nil"/>
              <w:bottom w:val="nil"/>
              <w:right w:val="nil"/>
            </w:tcBorders>
          </w:tcPr>
          <w:p>
            <w:pPr>
              <w:pStyle w:val="0"/>
              <w:jc w:val="both"/>
            </w:pPr>
            <w:r>
              <w:rPr>
                <w:sz w:val="24"/>
              </w:rPr>
              <w:t xml:space="preserve">8) неработающий временно проживающий в Российской Федерации иностранный гражданин;</w:t>
            </w:r>
          </w:p>
        </w:tc>
        <w:tc>
          <w:tcPr>
            <w:tcW w:w="396" w:type="dxa"/>
            <w:vAlign w:val="center"/>
            <w:tcBorders>
              <w:top w:val="nil"/>
              <w:left w:val="nil"/>
              <w:bottom w:val="nil"/>
            </w:tcBorders>
          </w:tcPr>
          <w:p>
            <w:pPr>
              <w:pStyle w:val="0"/>
            </w:pPr>
            <w:r>
              <w:rPr>
                <w:sz w:val="24"/>
              </w:rPr>
            </w:r>
          </w:p>
        </w:tc>
        <w:tc>
          <w:tcPr>
            <w:tcW w:w="396" w:type="dxa"/>
            <w:vAlign w:val="center"/>
            <w:tcBorders>
              <w:top w:val="single" w:sz="4"/>
              <w:bottom w:val="single" w:sz="4"/>
            </w:tcBorders>
          </w:tcPr>
          <w:p>
            <w:pPr>
              <w:pStyle w:val="0"/>
            </w:pPr>
            <w:r>
              <w:rPr>
                <w:sz w:val="24"/>
              </w:rPr>
            </w:r>
          </w:p>
        </w:tc>
        <w:tc>
          <w:tcPr>
            <w:tcW w:w="3968" w:type="dxa"/>
            <w:vAlign w:val="center"/>
            <w:tcBorders>
              <w:top w:val="nil"/>
              <w:bottom w:val="nil"/>
              <w:right w:val="nil"/>
            </w:tcBorders>
          </w:tcPr>
          <w:p>
            <w:pPr>
              <w:pStyle w:val="0"/>
              <w:jc w:val="both"/>
            </w:pPr>
            <w:r>
              <w:rPr>
                <w:sz w:val="24"/>
              </w:rPr>
              <w:t xml:space="preserve">16) Гражданин Российской Федерации, постоянно проживающий на территории Республики Южная Осетия.</w:t>
            </w:r>
          </w:p>
        </w:tc>
      </w:tr>
    </w:tbl>
    <w:p>
      <w:pPr>
        <w:pStyle w:val="0"/>
        <w:jc w:val="both"/>
      </w:pPr>
      <w:r>
        <w:rPr>
          <w:sz w:val="24"/>
        </w:rPr>
      </w:r>
    </w:p>
    <w:tbl>
      <w:tblPr>
        <w:tblInd w:w="0" w:type="dxa"/>
        <w:tblLayout w:type="fixed"/>
        <w:tblCellMar>
          <w:top w:w="102" w:type="dxa"/>
          <w:left w:w="62" w:type="dxa"/>
          <w:bottom w:w="102" w:type="dxa"/>
          <w:right w:w="62" w:type="dxa"/>
        </w:tblCellMar>
      </w:tblPr>
      <w:tblGrid>
        <w:gridCol w:w="2377"/>
        <w:gridCol w:w="6694"/>
      </w:tblGrid>
      <w:tr>
        <w:tc>
          <w:tcPr>
            <w:gridSpan w:val="2"/>
            <w:tcW w:w="9071" w:type="dxa"/>
            <w:tcBorders>
              <w:top w:val="nil"/>
              <w:left w:val="nil"/>
              <w:bottom w:val="nil"/>
              <w:right w:val="nil"/>
            </w:tcBorders>
          </w:tcPr>
          <w:p>
            <w:pPr>
              <w:pStyle w:val="0"/>
              <w:jc w:val="both"/>
            </w:pPr>
            <w:r>
              <w:rPr>
                <w:sz w:val="24"/>
              </w:rPr>
              <w:t xml:space="preserve">Не являюсь временно пребывающим высококвалифицированным специалистом и неработающим членом семьи высококвалифицированного специалиста в соответствии с Федеральным </w:t>
            </w:r>
            <w:hyperlink w:history="0" r:id="rId273" w:tooltip="Федеральный закон от 25.07.2002 N 115-ФЗ (ред. от 26.06.2026) &quot;О правовом положении иностранных граждан в Российской Федерации&quot; {КонсультантПлюс}">
              <w:r>
                <w:rPr>
                  <w:sz w:val="24"/>
                  <w:color w:val="0000ff"/>
                </w:rPr>
                <w:t xml:space="preserve">законом</w:t>
              </w:r>
            </w:hyperlink>
            <w:r>
              <w:rPr>
                <w:sz w:val="24"/>
              </w:rPr>
              <w:t xml:space="preserve"> от 25.07.2002 N 115-ФЗ "О правовом положении иностранных граждан в Российской Федерации" и не являюсь военнослужащим и приравненным к ним в организации оказания медицинской</w:t>
            </w:r>
          </w:p>
        </w:tc>
      </w:tr>
      <w:tr>
        <w:tc>
          <w:tcPr>
            <w:tcW w:w="2377" w:type="dxa"/>
            <w:tcBorders>
              <w:top w:val="nil"/>
              <w:left w:val="nil"/>
              <w:bottom w:val="nil"/>
              <w:right w:val="nil"/>
            </w:tcBorders>
          </w:tcPr>
          <w:p>
            <w:pPr>
              <w:pStyle w:val="0"/>
              <w:jc w:val="both"/>
            </w:pPr>
            <w:r>
              <w:rPr>
                <w:sz w:val="24"/>
              </w:rPr>
              <w:t xml:space="preserve">помощи лицом </w:t>
            </w:r>
            <w:hyperlink w:history="0" w:anchor="P1922" w:tooltip="&lt;3&gt; Поле обязательное для заполнения.">
              <w:r>
                <w:rPr>
                  <w:sz w:val="24"/>
                  <w:color w:val="0000ff"/>
                </w:rPr>
                <w:t xml:space="preserve">&lt;3&gt;</w:t>
              </w:r>
            </w:hyperlink>
          </w:p>
        </w:tc>
        <w:tc>
          <w:tcPr>
            <w:tcW w:w="6694" w:type="dxa"/>
            <w:vAlign w:val="bottom"/>
            <w:tcBorders>
              <w:top w:val="nil"/>
              <w:left w:val="nil"/>
              <w:bottom w:val="nil"/>
              <w:right w:val="nil"/>
            </w:tcBorders>
          </w:tcPr>
          <w:p>
            <w:pPr>
              <w:pStyle w:val="0"/>
              <w:jc w:val="center"/>
            </w:pPr>
            <w:r>
              <w:drawing>
                <wp:inline distT="0" distB="0" distL="0" distR="0">
                  <wp:extent cx="1404620" cy="15367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74">
                            <a:extLst>
                              <a:ext uri="{28A0092B-C50C-407E-A947-70E740481C1C}">
                                <a14:useLocalDpi xmlns:a14="http://schemas.microsoft.com/office/drawing/2010/main" val="0"/>
                              </a:ext>
                            </a:extLst>
                          </a:blip>
                          <a:srcRect/>
                          <a:stretch>
                            <a:fillRect/>
                          </a:stretch>
                        </pic:blipFill>
                        <pic:spPr bwMode="auto">
                          <a:xfrm>
                            <a:off x="0" y="0"/>
                            <a:ext cx="1404620" cy="153670"/>
                          </a:xfrm>
                          <a:prstGeom prst="rect">
                            <a:avLst/>
                          </a:prstGeom>
                          <a:noFill/>
                          <a:ln>
                            <a:noFill/>
                          </a:ln>
                        </pic:spPr>
                      </pic:pic>
                    </a:graphicData>
                  </a:graphic>
                </wp:inline>
              </w:drawing>
            </w:r>
          </w:p>
        </w:tc>
      </w:tr>
      <w:tr>
        <w:tc>
          <w:tcPr>
            <w:tcW w:w="2377" w:type="dxa"/>
            <w:tcBorders>
              <w:top w:val="nil"/>
              <w:left w:val="nil"/>
              <w:bottom w:val="nil"/>
              <w:right w:val="nil"/>
            </w:tcBorders>
          </w:tcPr>
          <w:p>
            <w:pPr>
              <w:pStyle w:val="0"/>
            </w:pPr>
            <w:r>
              <w:rPr>
                <w:sz w:val="24"/>
              </w:rPr>
            </w:r>
          </w:p>
        </w:tc>
        <w:tc>
          <w:tcPr>
            <w:tcW w:w="6694" w:type="dxa"/>
            <w:tcBorders>
              <w:top w:val="nil"/>
              <w:left w:val="nil"/>
              <w:bottom w:val="nil"/>
              <w:right w:val="nil"/>
            </w:tcBorders>
          </w:tcPr>
          <w:p>
            <w:pPr>
              <w:pStyle w:val="0"/>
              <w:jc w:val="center"/>
            </w:pPr>
            <w:r>
              <w:rPr>
                <w:sz w:val="24"/>
              </w:rPr>
              <w:t xml:space="preserve">(подпись застрахованного лица или его представителя)</w:t>
            </w:r>
          </w:p>
        </w:tc>
      </w:tr>
    </w:tbl>
    <w:p>
      <w:pPr>
        <w:pStyle w:val="0"/>
        <w:jc w:val="both"/>
      </w:pPr>
      <w:r>
        <w:rPr>
          <w:sz w:val="24"/>
        </w:rPr>
      </w:r>
    </w:p>
    <w:p>
      <w:pPr>
        <w:pStyle w:val="1"/>
        <w:jc w:val="both"/>
      </w:pPr>
      <w:r>
        <w:rPr>
          <w:sz w:val="20"/>
        </w:rPr>
        <w:t xml:space="preserve">1.6 Дата рождения: ___________________ 1.7 Место рождения: ________________</w:t>
      </w:r>
    </w:p>
    <w:p>
      <w:pPr>
        <w:pStyle w:val="1"/>
        <w:jc w:val="both"/>
      </w:pPr>
      <w:r>
        <w:rPr>
          <w:sz w:val="20"/>
        </w:rPr>
        <w:t xml:space="preserve">                   (число, месяц, год)                       (указывается</w:t>
      </w:r>
    </w:p>
    <w:p>
      <w:pPr>
        <w:pStyle w:val="1"/>
        <w:jc w:val="both"/>
      </w:pPr>
      <w:r>
        <w:rPr>
          <w:sz w:val="20"/>
        </w:rPr>
        <w:t xml:space="preserve">___________________________________________________________________________</w:t>
      </w:r>
    </w:p>
    <w:p>
      <w:pPr>
        <w:pStyle w:val="1"/>
        <w:jc w:val="both"/>
      </w:pPr>
      <w:r>
        <w:rPr>
          <w:sz w:val="20"/>
        </w:rPr>
        <w:t xml:space="preserve">   в точном соответствии с записью в документе, удостоверяющем личность)</w:t>
      </w:r>
    </w:p>
    <w:p>
      <w:pPr>
        <w:pStyle w:val="1"/>
        <w:jc w:val="both"/>
      </w:pPr>
      <w:r>
        <w:rPr>
          <w:sz w:val="20"/>
        </w:rPr>
        <w:t xml:space="preserve">1.8 Вид  документа,  удостоверяющего  личность,  или  паспорт  иностранного</w:t>
      </w:r>
    </w:p>
    <w:p>
      <w:pPr>
        <w:pStyle w:val="1"/>
        <w:jc w:val="both"/>
      </w:pPr>
      <w:r>
        <w:rPr>
          <w:sz w:val="20"/>
        </w:rPr>
        <w:t xml:space="preserve">    гражданина,  либо  иной  документ,  установленный  федеральным  законом</w:t>
      </w:r>
    </w:p>
    <w:p>
      <w:pPr>
        <w:pStyle w:val="1"/>
        <w:jc w:val="both"/>
      </w:pPr>
      <w:r>
        <w:rPr>
          <w:sz w:val="20"/>
        </w:rPr>
        <w:t xml:space="preserve">    или  признаваемый  в  соответствии с международным договором Российской</w:t>
      </w:r>
    </w:p>
    <w:p>
      <w:pPr>
        <w:pStyle w:val="1"/>
        <w:jc w:val="both"/>
      </w:pPr>
      <w:r>
        <w:rPr>
          <w:sz w:val="20"/>
        </w:rPr>
        <w:t xml:space="preserve">    Федерации  в  качестве документа, удостоверяющего личность иностранного</w:t>
      </w:r>
    </w:p>
    <w:p>
      <w:pPr>
        <w:pStyle w:val="1"/>
        <w:jc w:val="both"/>
      </w:pPr>
      <w:r>
        <w:rPr>
          <w:sz w:val="20"/>
        </w:rPr>
        <w:t xml:space="preserve">    гражданина ____________________________________________________________</w:t>
      </w:r>
    </w:p>
    <w:p>
      <w:pPr>
        <w:pStyle w:val="1"/>
        <w:jc w:val="both"/>
      </w:pPr>
      <w:r>
        <w:rPr>
          <w:sz w:val="20"/>
        </w:rPr>
        <w:t xml:space="preserve">1.9 Серия ___________ Номер ______________ 1.10 Дата выдачи _______________</w:t>
      </w:r>
    </w:p>
    <w:p>
      <w:pPr>
        <w:pStyle w:val="1"/>
        <w:jc w:val="both"/>
      </w:pPr>
      <w:r>
        <w:rPr>
          <w:sz w:val="20"/>
        </w:rPr>
        <w:t xml:space="preserve">    Кем выдан _____________________________________________________________</w:t>
      </w:r>
    </w:p>
    <w:p>
      <w:pPr>
        <w:pStyle w:val="1"/>
        <w:jc w:val="both"/>
      </w:pPr>
      <w:r>
        <w:rPr>
          <w:sz w:val="20"/>
        </w:rPr>
        <w:t xml:space="preserve">    _______________________________________________________________________</w:t>
      </w:r>
    </w:p>
    <w:p>
      <w:pPr>
        <w:pStyle w:val="1"/>
        <w:jc w:val="both"/>
      </w:pPr>
      <w:r>
        <w:rPr>
          <w:sz w:val="20"/>
        </w:rPr>
        <w:t xml:space="preserve">1.11 Гражданство: _________________________________________________________</w:t>
      </w:r>
    </w:p>
    <w:p>
      <w:pPr>
        <w:pStyle w:val="1"/>
        <w:jc w:val="both"/>
      </w:pPr>
      <w:r>
        <w:rPr>
          <w:sz w:val="20"/>
        </w:rPr>
        <w:t xml:space="preserve">                        (название государства; лицо без гражданства)</w:t>
      </w:r>
    </w:p>
    <w:p>
      <w:pPr>
        <w:pStyle w:val="1"/>
        <w:jc w:val="both"/>
      </w:pPr>
      <w:r>
        <w:rPr>
          <w:sz w:val="20"/>
        </w:rPr>
        <w:t xml:space="preserve">1.12 Адрес регистрации по месту жительства в Российской Федерации </w:t>
      </w:r>
      <w:hyperlink w:history="0" w:anchor="P1923" w:tooltip="&lt;4&gt; Указывается адрес места постоянной регистрации застрахованного.">
        <w:r>
          <w:rPr>
            <w:sz w:val="20"/>
            <w:color w:val="0000ff"/>
          </w:rPr>
          <w:t xml:space="preserve">&lt;4&gt;</w:t>
        </w:r>
      </w:hyperlink>
      <w:r>
        <w:rPr>
          <w:sz w:val="20"/>
        </w:rPr>
        <w:t xml:space="preserve">:</w:t>
      </w:r>
    </w:p>
    <w:p>
      <w:pPr>
        <w:pStyle w:val="1"/>
        <w:jc w:val="both"/>
      </w:pPr>
      <w:r>
        <w:rPr>
          <w:sz w:val="20"/>
        </w:rPr>
        <w:t xml:space="preserve">                          ┌─┬─┬─┬─┬─┬─┐</w:t>
      </w:r>
    </w:p>
    <w:p>
      <w:pPr>
        <w:pStyle w:val="1"/>
        <w:jc w:val="both"/>
      </w:pPr>
      <w:r>
        <w:rPr>
          <w:sz w:val="20"/>
        </w:rPr>
        <w:t xml:space="preserve">     а)   почтовый индекс │ │ │ │ │ │ │ б) субъект Российской</w:t>
      </w:r>
    </w:p>
    <w:p>
      <w:pPr>
        <w:pStyle w:val="1"/>
        <w:jc w:val="both"/>
      </w:pPr>
      <w:r>
        <w:rPr>
          <w:sz w:val="20"/>
        </w:rPr>
        <w:t xml:space="preserve">                          └─┴─┴─┴─┴─┴─┘    Федерации ______________________</w:t>
      </w:r>
    </w:p>
    <w:p>
      <w:pPr>
        <w:pStyle w:val="1"/>
        <w:jc w:val="both"/>
      </w:pPr>
      <w:r>
        <w:rPr>
          <w:sz w:val="20"/>
        </w:rPr>
        <w:t xml:space="preserve">                                                       (республика, край,</w:t>
      </w:r>
    </w:p>
    <w:p>
      <w:pPr>
        <w:pStyle w:val="1"/>
        <w:jc w:val="both"/>
      </w:pPr>
      <w:r>
        <w:rPr>
          <w:sz w:val="20"/>
        </w:rPr>
        <w:t xml:space="preserve">                                                         область, округ)</w:t>
      </w:r>
    </w:p>
    <w:p>
      <w:pPr>
        <w:pStyle w:val="1"/>
        <w:jc w:val="both"/>
      </w:pPr>
      <w:r>
        <w:rPr>
          <w:sz w:val="20"/>
        </w:rPr>
        <w:t xml:space="preserve">     в)   район _________________________  г) город _______________________</w:t>
      </w:r>
    </w:p>
    <w:p>
      <w:pPr>
        <w:pStyle w:val="1"/>
        <w:jc w:val="both"/>
      </w:pPr>
      <w:r>
        <w:rPr>
          <w:sz w:val="20"/>
        </w:rPr>
        <w:t xml:space="preserve">     д)   населенный пункт ______________  е) улица _______________________</w:t>
      </w:r>
    </w:p>
    <w:p>
      <w:pPr>
        <w:pStyle w:val="1"/>
        <w:jc w:val="both"/>
      </w:pPr>
      <w:r>
        <w:rPr>
          <w:sz w:val="20"/>
        </w:rPr>
        <w:t xml:space="preserve">                           (село, поселок            (проспект, переулок</w:t>
      </w:r>
    </w:p>
    <w:p>
      <w:pPr>
        <w:pStyle w:val="1"/>
        <w:jc w:val="both"/>
      </w:pPr>
      <w:r>
        <w:rPr>
          <w:sz w:val="20"/>
        </w:rPr>
        <w:t xml:space="preserve">                              и другие)                    и другие)</w:t>
      </w:r>
    </w:p>
    <w:p>
      <w:pPr>
        <w:pStyle w:val="1"/>
        <w:jc w:val="both"/>
      </w:pPr>
      <w:r>
        <w:rPr>
          <w:sz w:val="20"/>
        </w:rPr>
        <w:t xml:space="preserve">     ж)   N дома (владения) __ з) корпус (строение) _ и) квартира (ком.) __</w:t>
      </w:r>
    </w:p>
    <w:p>
      <w:pPr>
        <w:pStyle w:val="1"/>
        <w:jc w:val="both"/>
      </w:pPr>
      <w:r>
        <w:rPr>
          <w:sz w:val="20"/>
        </w:rPr>
        <w:t xml:space="preserve">     к)   дата регистрации по месту жительства ____________________________</w:t>
      </w:r>
    </w:p>
    <w:p>
      <w:pPr>
        <w:pStyle w:val="1"/>
        <w:jc w:val="both"/>
      </w:pPr>
      <w:r>
        <w:rPr>
          <w:sz w:val="20"/>
        </w:rPr>
        <w:t xml:space="preserve">     ┌─┐</w:t>
      </w:r>
    </w:p>
    <w:p>
      <w:pPr>
        <w:pStyle w:val="1"/>
        <w:jc w:val="both"/>
      </w:pPr>
      <w:r>
        <w:rPr>
          <w:sz w:val="20"/>
        </w:rPr>
        <w:t xml:space="preserve">     │ │  лицо без определенного места жительства </w:t>
      </w:r>
      <w:hyperlink w:history="0" w:anchor="P1924" w:tooltip="&lt;5&gt; Отмечается знаком &quot;V&quot;.">
        <w:r>
          <w:rPr>
            <w:sz w:val="20"/>
            <w:color w:val="0000ff"/>
          </w:rPr>
          <w:t xml:space="preserve">&lt;5&gt;</w:t>
        </w:r>
      </w:hyperlink>
    </w:p>
    <w:p>
      <w:pPr>
        <w:pStyle w:val="1"/>
        <w:jc w:val="both"/>
      </w:pPr>
      <w:r>
        <w:rPr>
          <w:sz w:val="20"/>
        </w:rPr>
        <w:t xml:space="preserve">     └─┘</w:t>
      </w:r>
    </w:p>
    <w:p>
      <w:pPr>
        <w:pStyle w:val="1"/>
        <w:jc w:val="both"/>
      </w:pPr>
      <w:r>
        <w:rPr>
          <w:sz w:val="20"/>
        </w:rPr>
        <w:t xml:space="preserve">1.13 Адрес места пребывания </w:t>
      </w:r>
      <w:hyperlink w:history="0" w:anchor="P1925" w:tooltip="&lt;6&gt; Указывается адрес места временной регистрации или фактического пребывания застрахованного.">
        <w:r>
          <w:rPr>
            <w:sz w:val="20"/>
            <w:color w:val="0000ff"/>
          </w:rPr>
          <w:t xml:space="preserve">&lt;6&gt;</w:t>
        </w:r>
      </w:hyperlink>
      <w:r>
        <w:rPr>
          <w:sz w:val="20"/>
        </w:rPr>
        <w:t xml:space="preserve"> (указывается в случае пребывания гражданина</w:t>
      </w:r>
    </w:p>
    <w:p>
      <w:pPr>
        <w:pStyle w:val="1"/>
        <w:jc w:val="both"/>
      </w:pPr>
      <w:r>
        <w:rPr>
          <w:sz w:val="20"/>
        </w:rPr>
        <w:t xml:space="preserve">     по адресу, отличному от адреса регистрации по месту жительства):</w:t>
      </w:r>
    </w:p>
    <w:p>
      <w:pPr>
        <w:pStyle w:val="1"/>
        <w:jc w:val="both"/>
      </w:pPr>
      <w:r>
        <w:rPr>
          <w:sz w:val="20"/>
        </w:rPr>
        <w:t xml:space="preserve">                          ┌─┬─┬─┬─┬─┬─┐</w:t>
      </w:r>
    </w:p>
    <w:p>
      <w:pPr>
        <w:pStyle w:val="1"/>
        <w:jc w:val="both"/>
      </w:pPr>
      <w:r>
        <w:rPr>
          <w:sz w:val="20"/>
        </w:rPr>
        <w:t xml:space="preserve">     а)   почтовый индекс │ │ │ │ │ │ │ б) субъект Российской</w:t>
      </w:r>
    </w:p>
    <w:p>
      <w:pPr>
        <w:pStyle w:val="1"/>
        <w:jc w:val="both"/>
      </w:pPr>
      <w:r>
        <w:rPr>
          <w:sz w:val="20"/>
        </w:rPr>
        <w:t xml:space="preserve">                          └─┴─┴─┴─┴─┴─┘    Федерации ______________________</w:t>
      </w:r>
    </w:p>
    <w:p>
      <w:pPr>
        <w:pStyle w:val="1"/>
        <w:jc w:val="both"/>
      </w:pPr>
      <w:r>
        <w:rPr>
          <w:sz w:val="20"/>
        </w:rPr>
        <w:t xml:space="preserve">                                                      (республика, край,</w:t>
      </w:r>
    </w:p>
    <w:p>
      <w:pPr>
        <w:pStyle w:val="1"/>
        <w:jc w:val="both"/>
      </w:pPr>
      <w:r>
        <w:rPr>
          <w:sz w:val="20"/>
        </w:rPr>
        <w:t xml:space="preserve">                                                        область, округ)</w:t>
      </w:r>
    </w:p>
    <w:p>
      <w:pPr>
        <w:pStyle w:val="1"/>
        <w:jc w:val="both"/>
      </w:pPr>
      <w:r>
        <w:rPr>
          <w:sz w:val="20"/>
        </w:rPr>
        <w:t xml:space="preserve">     в)   район _________________________  г) город _______________________</w:t>
      </w:r>
    </w:p>
    <w:p>
      <w:pPr>
        <w:pStyle w:val="1"/>
        <w:jc w:val="both"/>
      </w:pPr>
      <w:r>
        <w:rPr>
          <w:sz w:val="20"/>
        </w:rPr>
        <w:t xml:space="preserve">     д)   населенный пункт ______________  е) улица _______________________</w:t>
      </w:r>
    </w:p>
    <w:p>
      <w:pPr>
        <w:pStyle w:val="1"/>
        <w:jc w:val="both"/>
      </w:pPr>
      <w:r>
        <w:rPr>
          <w:sz w:val="20"/>
        </w:rPr>
        <w:t xml:space="preserve">                           (село, поселок             (проспект, переулок</w:t>
      </w:r>
    </w:p>
    <w:p>
      <w:pPr>
        <w:pStyle w:val="1"/>
        <w:jc w:val="both"/>
      </w:pPr>
      <w:r>
        <w:rPr>
          <w:sz w:val="20"/>
        </w:rPr>
        <w:t xml:space="preserve">                              и другие)                    и другие)</w:t>
      </w:r>
    </w:p>
    <w:p>
      <w:pPr>
        <w:pStyle w:val="1"/>
        <w:jc w:val="both"/>
      </w:pPr>
      <w:r>
        <w:rPr>
          <w:sz w:val="20"/>
        </w:rPr>
        <w:t xml:space="preserve">     ж)   N дома (владение) __ з) корпус (строение) _ и) квартира (ком.) __</w:t>
      </w:r>
    </w:p>
    <w:p>
      <w:pPr>
        <w:pStyle w:val="1"/>
        <w:jc w:val="both"/>
      </w:pPr>
      <w:r>
        <w:rPr>
          <w:sz w:val="20"/>
        </w:rPr>
        <w:t xml:space="preserve">1.14 Сведения о документе, подтверждающем регистрацию по месту жительства в</w:t>
      </w:r>
    </w:p>
    <w:p>
      <w:pPr>
        <w:pStyle w:val="1"/>
        <w:jc w:val="both"/>
      </w:pPr>
      <w:r>
        <w:rPr>
          <w:sz w:val="20"/>
        </w:rPr>
        <w:t xml:space="preserve">     Российской Федерации </w:t>
      </w:r>
      <w:hyperlink w:history="0" w:anchor="P1926" w:tooltip="&lt;7&gt; Для лиц, указанных в подпунктах 3, 4, 5, 6 и 7 пункта 16 Правил обязательного медицинского страхования.">
        <w:r>
          <w:rPr>
            <w:sz w:val="20"/>
            <w:color w:val="0000ff"/>
          </w:rPr>
          <w:t xml:space="preserve">&lt;7&gt;</w:t>
        </w:r>
      </w:hyperlink>
      <w:r>
        <w:rPr>
          <w:sz w:val="20"/>
        </w:rPr>
        <w:t xml:space="preserve">:</w:t>
      </w:r>
    </w:p>
    <w:p>
      <w:pPr>
        <w:pStyle w:val="1"/>
        <w:jc w:val="both"/>
      </w:pPr>
      <w:r>
        <w:rPr>
          <w:sz w:val="20"/>
        </w:rPr>
        <w:t xml:space="preserve">     а) вид документа _____________________________________________________</w:t>
      </w:r>
    </w:p>
    <w:p>
      <w:pPr>
        <w:pStyle w:val="1"/>
        <w:jc w:val="both"/>
      </w:pPr>
      <w:r>
        <w:rPr>
          <w:sz w:val="20"/>
        </w:rPr>
        <w:t xml:space="preserve">     б) серия ________________ в) номер ___________________________________</w:t>
      </w:r>
    </w:p>
    <w:p>
      <w:pPr>
        <w:pStyle w:val="1"/>
        <w:jc w:val="both"/>
      </w:pPr>
      <w:r>
        <w:rPr>
          <w:sz w:val="20"/>
        </w:rPr>
        <w:t xml:space="preserve">     г) кем и когда выдан _________________________________________________</w:t>
      </w:r>
    </w:p>
    <w:p>
      <w:pPr>
        <w:pStyle w:val="1"/>
        <w:jc w:val="both"/>
      </w:pPr>
      <w:r>
        <w:rPr>
          <w:sz w:val="20"/>
        </w:rPr>
        <w:t xml:space="preserve">        ___________________________________________________________________</w:t>
      </w:r>
    </w:p>
    <w:p>
      <w:pPr>
        <w:pStyle w:val="1"/>
        <w:jc w:val="both"/>
      </w:pPr>
      <w:r>
        <w:rPr>
          <w:sz w:val="20"/>
        </w:rPr>
        <w:t xml:space="preserve">1.15 Срок   действия   вида   на   жительство    или   другого   документа,</w:t>
      </w:r>
    </w:p>
    <w:p>
      <w:pPr>
        <w:pStyle w:val="1"/>
        <w:jc w:val="both"/>
      </w:pPr>
      <w:r>
        <w:rPr>
          <w:sz w:val="20"/>
        </w:rPr>
        <w:t xml:space="preserve">     подтверждающего  право  на проживание   (временного   проживания)   на</w:t>
      </w:r>
    </w:p>
    <w:p>
      <w:pPr>
        <w:pStyle w:val="1"/>
        <w:jc w:val="both"/>
      </w:pPr>
      <w:r>
        <w:rPr>
          <w:sz w:val="20"/>
        </w:rPr>
        <w:t xml:space="preserve">     территории  Российской  Федерации (для иностранного гражданина и  лица</w:t>
      </w:r>
    </w:p>
    <w:p>
      <w:pPr>
        <w:pStyle w:val="1"/>
        <w:jc w:val="both"/>
      </w:pPr>
      <w:r>
        <w:rPr>
          <w:sz w:val="20"/>
        </w:rPr>
        <w:t xml:space="preserve">     без гражданства): с ___________________ по ___________________</w:t>
      </w:r>
    </w:p>
    <w:p>
      <w:pPr>
        <w:pStyle w:val="1"/>
        <w:jc w:val="both"/>
      </w:pPr>
      <w:r>
        <w:rPr>
          <w:sz w:val="20"/>
        </w:rPr>
        <w:t xml:space="preserve">                         (число, месяц, год)    (число, месяц, год)</w:t>
      </w:r>
    </w:p>
    <w:p>
      <w:pPr>
        <w:pStyle w:val="1"/>
        <w:jc w:val="both"/>
      </w:pPr>
      <w:r>
        <w:rPr>
          <w:sz w:val="20"/>
        </w:rPr>
        <w:t xml:space="preserve">1.16 Реквизиты трудового договора, заключенного с трудящимся государства -</w:t>
      </w:r>
    </w:p>
    <w:p>
      <w:pPr>
        <w:pStyle w:val="1"/>
        <w:jc w:val="both"/>
      </w:pPr>
      <w:r>
        <w:rPr>
          <w:sz w:val="20"/>
        </w:rPr>
        <w:t xml:space="preserve">     члена ЕАЭС, включая дату его подписания и срок действия:</w:t>
      </w:r>
    </w:p>
    <w:p>
      <w:pPr>
        <w:pStyle w:val="1"/>
        <w:jc w:val="both"/>
      </w:pPr>
      <w:r>
        <w:rPr>
          <w:sz w:val="20"/>
        </w:rPr>
        <w:t xml:space="preserve">     N ____________ дата подписания _____________, с _________ по _________</w:t>
      </w:r>
    </w:p>
    <w:p>
      <w:pPr>
        <w:pStyle w:val="1"/>
        <w:jc w:val="both"/>
      </w:pPr>
      <w:r>
        <w:rPr>
          <w:sz w:val="20"/>
        </w:rPr>
        <w:t xml:space="preserve">     Наименование организации, город ______________________________________</w:t>
      </w:r>
    </w:p>
    <w:p>
      <w:pPr>
        <w:pStyle w:val="1"/>
        <w:jc w:val="both"/>
      </w:pPr>
      <w:r>
        <w:rPr>
          <w:sz w:val="20"/>
        </w:rPr>
        <w:t xml:space="preserve">1.17 Данные  документа,  подтверждающего отношение лица  к категории членов</w:t>
      </w:r>
    </w:p>
    <w:p>
      <w:pPr>
        <w:pStyle w:val="1"/>
        <w:jc w:val="both"/>
      </w:pPr>
      <w:r>
        <w:rPr>
          <w:sz w:val="20"/>
        </w:rPr>
        <w:t xml:space="preserve">     коллегии  Комиссии,  должностных  лиц   и  сотрудников  органов  ЕАЭС,</w:t>
      </w:r>
    </w:p>
    <w:p>
      <w:pPr>
        <w:pStyle w:val="1"/>
        <w:jc w:val="both"/>
      </w:pPr>
      <w:r>
        <w:rPr>
          <w:sz w:val="20"/>
        </w:rPr>
        <w:t xml:space="preserve">     находящихся на территории Российской Федерации:</w:t>
      </w:r>
    </w:p>
    <w:p>
      <w:pPr>
        <w:pStyle w:val="1"/>
        <w:jc w:val="both"/>
      </w:pPr>
      <w:r>
        <w:rPr>
          <w:sz w:val="20"/>
        </w:rPr>
        <w:t xml:space="preserve">     а) серия _________________________ б) номер __________________________</w:t>
      </w:r>
    </w:p>
    <w:p>
      <w:pPr>
        <w:pStyle w:val="1"/>
        <w:jc w:val="both"/>
      </w:pPr>
      <w:r>
        <w:rPr>
          <w:sz w:val="20"/>
        </w:rPr>
        <w:t xml:space="preserve">1.18 Категория застрахованного лица в соответствии с положениями </w:t>
      </w:r>
      <w:hyperlink w:history="0" r:id="rId275" w:tooltip="&quot;Договор о Евразийском экономическом союзе&quot; (Подписан в г. Астане 29.05.2014) (ред. от 25.05.2023) (с изм. и доп., вступ. в силу с 24.06.2024) {КонсультантПлюс}">
        <w:r>
          <w:rPr>
            <w:sz w:val="20"/>
            <w:color w:val="0000ff"/>
          </w:rPr>
          <w:t xml:space="preserve">договора</w:t>
        </w:r>
      </w:hyperlink>
      <w:r>
        <w:rPr>
          <w:sz w:val="20"/>
        </w:rPr>
        <w:t xml:space="preserve"> о</w:t>
      </w:r>
    </w:p>
    <w:p>
      <w:pPr>
        <w:pStyle w:val="1"/>
        <w:jc w:val="both"/>
      </w:pPr>
      <w:r>
        <w:rPr>
          <w:sz w:val="20"/>
        </w:rPr>
        <w:t xml:space="preserve">     ЕАЭС  о  праве  отдельных категорий иностранных  граждан  государств -</w:t>
      </w:r>
    </w:p>
    <w:p>
      <w:pPr>
        <w:pStyle w:val="1"/>
        <w:jc w:val="both"/>
      </w:pPr>
      <w:r>
        <w:rPr>
          <w:sz w:val="20"/>
        </w:rPr>
        <w:t xml:space="preserve">     членов ЕАЭС на обязательное медицинское страхование:</w:t>
      </w:r>
    </w:p>
    <w:p>
      <w:pPr>
        <w:pStyle w:val="1"/>
        <w:jc w:val="both"/>
      </w:pPr>
      <w:r>
        <w:rPr>
          <w:sz w:val="20"/>
        </w:rPr>
        <w:t xml:space="preserve">     ______________________________________________________________________</w:t>
      </w:r>
    </w:p>
    <w:p>
      <w:pPr>
        <w:pStyle w:val="1"/>
        <w:jc w:val="both"/>
      </w:pPr>
      <w:r>
        <w:rPr>
          <w:sz w:val="20"/>
        </w:rPr>
        <w:t xml:space="preserve">1.19 Данные о месте пребывания с указанием срока пребывания _______________</w:t>
      </w:r>
    </w:p>
    <w:p>
      <w:pPr>
        <w:pStyle w:val="1"/>
        <w:jc w:val="both"/>
      </w:pPr>
      <w:r>
        <w:rPr>
          <w:sz w:val="20"/>
        </w:rPr>
        <w:t xml:space="preserve">     ______________________________________ с _____________ по ____________</w:t>
      </w:r>
    </w:p>
    <w:p>
      <w:pPr>
        <w:pStyle w:val="1"/>
        <w:jc w:val="both"/>
      </w:pPr>
      <w:r>
        <w:rPr>
          <w:sz w:val="20"/>
        </w:rPr>
        <w:t xml:space="preserve">1.20 Страховой   номер   индивидуального   лицевого   счета   (СНИЛС)  (при</w:t>
      </w:r>
    </w:p>
    <w:p>
      <w:pPr>
        <w:pStyle w:val="1"/>
        <w:jc w:val="both"/>
      </w:pPr>
      <w:r>
        <w:rPr>
          <w:sz w:val="20"/>
        </w:rPr>
        <w:t xml:space="preserve">     наличии) _____________________________________________________________</w:t>
      </w:r>
    </w:p>
    <w:p>
      <w:pPr>
        <w:pStyle w:val="1"/>
        <w:jc w:val="both"/>
      </w:pPr>
      <w:r>
        <w:rPr>
          <w:sz w:val="20"/>
        </w:rPr>
        <w:t xml:space="preserve">1.21 Контактная информация:</w:t>
      </w:r>
    </w:p>
    <w:p>
      <w:pPr>
        <w:pStyle w:val="1"/>
        <w:jc w:val="both"/>
      </w:pPr>
      <w:r>
        <w:rPr>
          <w:sz w:val="20"/>
        </w:rPr>
        <w:t xml:space="preserve">1.21.1 Телефон (с кодом): мобильный ______ домашний ______ служебный ______</w:t>
      </w:r>
    </w:p>
    <w:p>
      <w:pPr>
        <w:pStyle w:val="1"/>
        <w:jc w:val="both"/>
      </w:pPr>
      <w:r>
        <w:rPr>
          <w:sz w:val="20"/>
        </w:rPr>
        <w:t xml:space="preserve">1.21.2 Адрес электронной почты ____________________________________________</w:t>
      </w:r>
    </w:p>
    <w:p>
      <w:pPr>
        <w:pStyle w:val="1"/>
        <w:jc w:val="both"/>
      </w:pPr>
      <w:r>
        <w:rPr>
          <w:sz w:val="20"/>
        </w:rPr>
        <w:t xml:space="preserve">1.22  Приоритетные   способы    информирования   и   (или)  информационного</w:t>
      </w:r>
    </w:p>
    <w:p>
      <w:pPr>
        <w:pStyle w:val="1"/>
        <w:jc w:val="both"/>
      </w:pPr>
      <w:r>
        <w:rPr>
          <w:sz w:val="20"/>
        </w:rPr>
        <w:t xml:space="preserve">      сопровождения застрахованного лица:</w:t>
      </w:r>
    </w:p>
    <w:p>
      <w:pPr>
        <w:pStyle w:val="0"/>
        <w:jc w:val="both"/>
      </w:pPr>
      <w:r>
        <w:rPr>
          <w:sz w:val="24"/>
        </w:rPr>
      </w:r>
    </w:p>
    <w:tbl>
      <w:tblPr>
        <w:tblInd w:w="0" w:type="dxa"/>
        <w:tblLayout w:type="fixed"/>
        <w:tblBorders>
          <w:left w:val="single" w:sz="4"/>
          <w:bottom w:val="single" w:sz="4"/>
          <w:insideV w:val="single" w:sz="4"/>
        </w:tblBorders>
        <w:tblCellMar>
          <w:top w:w="102" w:type="dxa"/>
          <w:left w:w="62" w:type="dxa"/>
          <w:bottom w:w="102" w:type="dxa"/>
          <w:right w:w="62" w:type="dxa"/>
        </w:tblCellMar>
      </w:tblPr>
      <w:tblGrid>
        <w:gridCol w:w="396"/>
        <w:gridCol w:w="3911"/>
        <w:gridCol w:w="396"/>
        <w:gridCol w:w="396"/>
        <w:gridCol w:w="3968"/>
      </w:tblGrid>
      <w:tr>
        <w:tc>
          <w:tcPr>
            <w:tcW w:w="396" w:type="dxa"/>
            <w:tcBorders>
              <w:top w:val="single" w:sz="4"/>
              <w:bottom w:val="single" w:sz="4"/>
            </w:tcBorders>
          </w:tcPr>
          <w:p>
            <w:pPr>
              <w:pStyle w:val="0"/>
            </w:pPr>
            <w:r>
              <w:rPr>
                <w:sz w:val="24"/>
              </w:rPr>
            </w:r>
          </w:p>
        </w:tc>
        <w:tc>
          <w:tcPr>
            <w:tcW w:w="3911" w:type="dxa"/>
            <w:tcBorders>
              <w:top w:val="nil"/>
              <w:bottom w:val="nil"/>
              <w:right w:val="nil"/>
            </w:tcBorders>
          </w:tcPr>
          <w:p>
            <w:pPr>
              <w:pStyle w:val="0"/>
            </w:pPr>
            <w:r>
              <w:rPr>
                <w:sz w:val="24"/>
              </w:rPr>
              <w:t xml:space="preserve">SMS-информирование;</w:t>
            </w:r>
          </w:p>
        </w:tc>
        <w:tc>
          <w:tcPr>
            <w:tcW w:w="396" w:type="dxa"/>
            <w:tcBorders>
              <w:top w:val="nil"/>
              <w:left w:val="nil"/>
              <w:bottom w:val="nil"/>
            </w:tcBorders>
          </w:tcPr>
          <w:p>
            <w:pPr>
              <w:pStyle w:val="0"/>
            </w:pPr>
            <w:r>
              <w:rPr>
                <w:sz w:val="24"/>
              </w:rPr>
            </w:r>
          </w:p>
        </w:tc>
        <w:tc>
          <w:tcPr>
            <w:tcW w:w="396" w:type="dxa"/>
            <w:tcBorders>
              <w:top w:val="single" w:sz="4"/>
              <w:bottom w:val="single" w:sz="4"/>
            </w:tcBorders>
          </w:tcPr>
          <w:p>
            <w:pPr>
              <w:pStyle w:val="0"/>
            </w:pPr>
            <w:r>
              <w:rPr>
                <w:sz w:val="24"/>
              </w:rPr>
            </w:r>
          </w:p>
        </w:tc>
        <w:tc>
          <w:tcPr>
            <w:tcW w:w="3968" w:type="dxa"/>
            <w:tcBorders>
              <w:top w:val="nil"/>
              <w:bottom w:val="nil"/>
              <w:right w:val="nil"/>
            </w:tcBorders>
          </w:tcPr>
          <w:p>
            <w:pPr>
              <w:pStyle w:val="0"/>
            </w:pPr>
            <w:r>
              <w:rPr>
                <w:sz w:val="24"/>
              </w:rPr>
              <w:t xml:space="preserve">Почтовая рассылка;</w:t>
            </w:r>
          </w:p>
        </w:tc>
      </w:tr>
      <w:tr>
        <w:tc>
          <w:tcPr>
            <w:tcW w:w="396" w:type="dxa"/>
            <w:tcBorders>
              <w:top w:val="single" w:sz="4"/>
              <w:bottom w:val="single" w:sz="4"/>
            </w:tcBorders>
          </w:tcPr>
          <w:p>
            <w:pPr>
              <w:pStyle w:val="0"/>
            </w:pPr>
            <w:r>
              <w:rPr>
                <w:sz w:val="24"/>
              </w:rPr>
            </w:r>
          </w:p>
        </w:tc>
        <w:tc>
          <w:tcPr>
            <w:tcW w:w="3911" w:type="dxa"/>
            <w:tcBorders>
              <w:top w:val="nil"/>
              <w:bottom w:val="nil"/>
              <w:right w:val="nil"/>
            </w:tcBorders>
          </w:tcPr>
          <w:p>
            <w:pPr>
              <w:pStyle w:val="0"/>
            </w:pPr>
            <w:r>
              <w:rPr>
                <w:sz w:val="24"/>
              </w:rPr>
              <w:t xml:space="preserve">Электронная почта;</w:t>
            </w:r>
          </w:p>
        </w:tc>
        <w:tc>
          <w:tcPr>
            <w:tcW w:w="396" w:type="dxa"/>
            <w:tcBorders>
              <w:top w:val="nil"/>
              <w:left w:val="nil"/>
              <w:bottom w:val="nil"/>
            </w:tcBorders>
          </w:tcPr>
          <w:p>
            <w:pPr>
              <w:pStyle w:val="0"/>
            </w:pPr>
            <w:r>
              <w:rPr>
                <w:sz w:val="24"/>
              </w:rPr>
            </w:r>
          </w:p>
        </w:tc>
        <w:tc>
          <w:tcPr>
            <w:tcW w:w="396" w:type="dxa"/>
            <w:tcBorders>
              <w:top w:val="single" w:sz="4"/>
              <w:bottom w:val="single" w:sz="4"/>
            </w:tcBorders>
          </w:tcPr>
          <w:p>
            <w:pPr>
              <w:pStyle w:val="0"/>
            </w:pPr>
            <w:r>
              <w:rPr>
                <w:sz w:val="24"/>
              </w:rPr>
            </w:r>
          </w:p>
        </w:tc>
        <w:tc>
          <w:tcPr>
            <w:tcW w:w="3968" w:type="dxa"/>
            <w:tcBorders>
              <w:top w:val="nil"/>
              <w:bottom w:val="nil"/>
              <w:right w:val="nil"/>
            </w:tcBorders>
          </w:tcPr>
          <w:p>
            <w:pPr>
              <w:pStyle w:val="0"/>
            </w:pPr>
            <w:r>
              <w:rPr>
                <w:sz w:val="24"/>
              </w:rPr>
              <w:t xml:space="preserve">Телефонный обзвон;</w:t>
            </w:r>
          </w:p>
        </w:tc>
      </w:tr>
      <w:tr>
        <w:tc>
          <w:tcPr>
            <w:tcW w:w="396" w:type="dxa"/>
            <w:tcBorders>
              <w:top w:val="single" w:sz="4"/>
              <w:bottom w:val="single" w:sz="4"/>
            </w:tcBorders>
          </w:tcPr>
          <w:p>
            <w:pPr>
              <w:pStyle w:val="0"/>
            </w:pPr>
            <w:r>
              <w:rPr>
                <w:sz w:val="24"/>
              </w:rPr>
            </w:r>
          </w:p>
        </w:tc>
        <w:tc>
          <w:tcPr>
            <w:tcW w:w="3911" w:type="dxa"/>
            <w:tcBorders>
              <w:top w:val="nil"/>
              <w:bottom w:val="nil"/>
              <w:right w:val="nil"/>
            </w:tcBorders>
          </w:tcPr>
          <w:p>
            <w:pPr>
              <w:pStyle w:val="0"/>
              <w:jc w:val="both"/>
            </w:pPr>
            <w:r>
              <w:rPr>
                <w:sz w:val="24"/>
              </w:rPr>
              <w:t xml:space="preserve">Информирование посредством системы обмена текстовыми сообщениями для мобильных платформ (мессенджеры);</w:t>
            </w:r>
          </w:p>
        </w:tc>
        <w:tc>
          <w:tcPr>
            <w:tcW w:w="396" w:type="dxa"/>
            <w:tcBorders>
              <w:top w:val="nil"/>
              <w:left w:val="nil"/>
              <w:bottom w:val="nil"/>
            </w:tcBorders>
          </w:tcPr>
          <w:p>
            <w:pPr>
              <w:pStyle w:val="0"/>
            </w:pPr>
            <w:r>
              <w:rPr>
                <w:sz w:val="24"/>
              </w:rPr>
            </w:r>
          </w:p>
        </w:tc>
        <w:tc>
          <w:tcPr>
            <w:tcW w:w="396" w:type="dxa"/>
            <w:tcBorders>
              <w:top w:val="single" w:sz="4"/>
              <w:bottom w:val="single" w:sz="4"/>
            </w:tcBorders>
          </w:tcPr>
          <w:p>
            <w:pPr>
              <w:pStyle w:val="0"/>
            </w:pPr>
            <w:r>
              <w:rPr>
                <w:sz w:val="24"/>
              </w:rPr>
            </w:r>
          </w:p>
        </w:tc>
        <w:tc>
          <w:tcPr>
            <w:tcW w:w="3968" w:type="dxa"/>
            <w:tcBorders>
              <w:top w:val="nil"/>
              <w:bottom w:val="single" w:sz="4"/>
              <w:right w:val="nil"/>
            </w:tcBorders>
          </w:tcPr>
          <w:p>
            <w:pPr>
              <w:pStyle w:val="0"/>
            </w:pPr>
            <w:r>
              <w:rPr>
                <w:sz w:val="24"/>
              </w:rPr>
              <w:t xml:space="preserve">Иные способы информирования (указать):</w:t>
            </w:r>
          </w:p>
        </w:tc>
      </w:tr>
    </w:tbl>
    <w:p>
      <w:pPr>
        <w:pStyle w:val="0"/>
        <w:jc w:val="both"/>
      </w:pPr>
      <w:r>
        <w:rPr>
          <w:sz w:val="24"/>
        </w:rPr>
      </w:r>
    </w:p>
    <w:p>
      <w:pPr>
        <w:pStyle w:val="1"/>
        <w:jc w:val="both"/>
      </w:pPr>
      <w:r>
        <w:rPr>
          <w:sz w:val="20"/>
        </w:rPr>
        <w:t xml:space="preserve">           2. Сведения о представителе застрахованного лица </w:t>
      </w:r>
      <w:hyperlink w:history="0" w:anchor="P1927" w:tooltip="&lt;8&gt; Заполняется в случае составления настоящего заявления представителем застрахованного лица.">
        <w:r>
          <w:rPr>
            <w:sz w:val="20"/>
            <w:color w:val="0000ff"/>
          </w:rPr>
          <w:t xml:space="preserve">&lt;8&gt;</w:t>
        </w:r>
      </w:hyperlink>
    </w:p>
    <w:p>
      <w:pPr>
        <w:pStyle w:val="1"/>
        <w:jc w:val="both"/>
      </w:pPr>
      <w:r>
        <w:rPr>
          <w:sz w:val="20"/>
        </w:rPr>
      </w:r>
    </w:p>
    <w:p>
      <w:pPr>
        <w:pStyle w:val="1"/>
        <w:jc w:val="both"/>
      </w:pPr>
      <w:r>
        <w:rPr>
          <w:sz w:val="20"/>
        </w:rPr>
        <w:t xml:space="preserve">2.1  Фамилия ________________________ 2.2 Имя _____________________________</w:t>
      </w:r>
    </w:p>
    <w:p>
      <w:pPr>
        <w:pStyle w:val="1"/>
        <w:jc w:val="both"/>
      </w:pPr>
      <w:r>
        <w:rPr>
          <w:sz w:val="20"/>
        </w:rPr>
        <w:t xml:space="preserve">               (указывается в точном соответствии с записью в документе,</w:t>
      </w:r>
    </w:p>
    <w:p>
      <w:pPr>
        <w:pStyle w:val="1"/>
        <w:jc w:val="both"/>
      </w:pPr>
      <w:r>
        <w:rPr>
          <w:sz w:val="20"/>
        </w:rPr>
        <w:t xml:space="preserve">                              удостоверяющем личность)</w:t>
      </w:r>
    </w:p>
    <w:p>
      <w:pPr>
        <w:pStyle w:val="1"/>
        <w:jc w:val="both"/>
      </w:pPr>
      <w:r>
        <w:rPr>
          <w:sz w:val="20"/>
        </w:rPr>
        <w:t xml:space="preserve">2.3  Отчество (при наличии) _______________________________________________</w:t>
      </w:r>
    </w:p>
    <w:p>
      <w:pPr>
        <w:pStyle w:val="1"/>
        <w:jc w:val="both"/>
      </w:pPr>
      <w:r>
        <w:rPr>
          <w:sz w:val="20"/>
        </w:rPr>
        <w:t xml:space="preserve">               (указывается в точном соответствии с записью в документе,</w:t>
      </w:r>
    </w:p>
    <w:p>
      <w:pPr>
        <w:pStyle w:val="1"/>
        <w:jc w:val="both"/>
      </w:pPr>
      <w:r>
        <w:rPr>
          <w:sz w:val="20"/>
        </w:rPr>
        <w:t xml:space="preserve">                                удостоверяющем личность)</w:t>
      </w:r>
    </w:p>
    <w:p>
      <w:pPr>
        <w:pStyle w:val="1"/>
        <w:jc w:val="both"/>
      </w:pPr>
      <w:r>
        <w:rPr>
          <w:sz w:val="20"/>
        </w:rPr>
        <w:t xml:space="preserve">                  ┌─┐      ┌─┐</w:t>
      </w:r>
    </w:p>
    <w:p>
      <w:pPr>
        <w:pStyle w:val="1"/>
        <w:jc w:val="both"/>
      </w:pPr>
      <w:r>
        <w:rPr>
          <w:sz w:val="20"/>
        </w:rPr>
        <w:t xml:space="preserve">2.4 </w:t>
      </w:r>
      <w:hyperlink w:history="0" w:anchor="P1932" w:tooltip="&lt;*&gt; Сведения подлежат заполнению после окончания переходного периода, определенного пунктом 41 Правил обязательного медицинского страхования.">
        <w:r>
          <w:rPr>
            <w:sz w:val="20"/>
            <w:color w:val="0000ff"/>
          </w:rPr>
          <w:t xml:space="preserve">&lt;*&gt;</w:t>
        </w:r>
      </w:hyperlink>
      <w:r>
        <w:rPr>
          <w:sz w:val="20"/>
        </w:rPr>
        <w:t xml:space="preserve"> Пол: муж. │ │ жен. │ │    2.5 </w:t>
      </w:r>
      <w:hyperlink w:history="0" w:anchor="P1932" w:tooltip="&lt;*&gt; Сведения подлежат заполнению после окончания переходного периода, определенного пунктом 41 Правил обязательного медицинского страхования.">
        <w:r>
          <w:rPr>
            <w:sz w:val="20"/>
            <w:color w:val="0000ff"/>
          </w:rPr>
          <w:t xml:space="preserve">&lt;*&gt;</w:t>
        </w:r>
      </w:hyperlink>
      <w:r>
        <w:rPr>
          <w:sz w:val="20"/>
        </w:rPr>
        <w:t xml:space="preserve"> Дата рождения: __________________</w:t>
      </w:r>
    </w:p>
    <w:p>
      <w:pPr>
        <w:pStyle w:val="1"/>
        <w:jc w:val="both"/>
      </w:pPr>
      <w:r>
        <w:rPr>
          <w:sz w:val="20"/>
        </w:rPr>
        <w:t xml:space="preserve">                  └─┘      └─┘                          (число, месяц, год)</w:t>
      </w:r>
    </w:p>
    <w:p>
      <w:pPr>
        <w:pStyle w:val="1"/>
        <w:jc w:val="both"/>
      </w:pPr>
      <w:r>
        <w:rPr>
          <w:sz w:val="20"/>
        </w:rPr>
        <w:t xml:space="preserve">    (нужное отметить знаком "V")</w:t>
      </w:r>
    </w:p>
    <w:p>
      <w:pPr>
        <w:pStyle w:val="1"/>
        <w:jc w:val="both"/>
      </w:pPr>
      <w:r>
        <w:rPr>
          <w:sz w:val="20"/>
        </w:rPr>
        <w:t xml:space="preserve">2.6 </w:t>
      </w:r>
      <w:hyperlink w:history="0" w:anchor="P1932" w:tooltip="&lt;*&gt; Сведения подлежат заполнению после окончания переходного периода, определенного пунктом 41 Правил обязательного медицинского страхования.">
        <w:r>
          <w:rPr>
            <w:sz w:val="20"/>
            <w:color w:val="0000ff"/>
          </w:rPr>
          <w:t xml:space="preserve">&lt;*&gt;</w:t>
        </w:r>
      </w:hyperlink>
      <w:r>
        <w:rPr>
          <w:sz w:val="20"/>
        </w:rPr>
        <w:t xml:space="preserve"> Гражданство: ______________________________________________________</w:t>
      </w:r>
    </w:p>
    <w:p>
      <w:pPr>
        <w:pStyle w:val="1"/>
        <w:jc w:val="both"/>
      </w:pPr>
      <w:r>
        <w:rPr>
          <w:sz w:val="20"/>
        </w:rPr>
        <w:t xml:space="preserve">                          (название государства; лицо без гражданства)</w:t>
      </w:r>
    </w:p>
    <w:p>
      <w:pPr>
        <w:pStyle w:val="1"/>
        <w:jc w:val="both"/>
      </w:pPr>
      <w:r>
        <w:rPr>
          <w:sz w:val="20"/>
        </w:rPr>
        <w:t xml:space="preserve">                                   ┌─┐       ┌─┐             ┌─┐</w:t>
      </w:r>
    </w:p>
    <w:p>
      <w:pPr>
        <w:pStyle w:val="1"/>
        <w:jc w:val="both"/>
      </w:pPr>
      <w:r>
        <w:rPr>
          <w:sz w:val="20"/>
        </w:rPr>
        <w:t xml:space="preserve">2.7 Статус законного представителя │ │ Мать  │ │ Опекун      │ │Усыновитель</w:t>
      </w:r>
    </w:p>
    <w:p>
      <w:pPr>
        <w:pStyle w:val="1"/>
        <w:jc w:val="both"/>
      </w:pPr>
      <w:r>
        <w:rPr>
          <w:sz w:val="20"/>
        </w:rPr>
        <w:t xml:space="preserve">    застрахованного лица           ├─┤       ├─┤             └─┘</w:t>
      </w:r>
    </w:p>
    <w:p>
      <w:pPr>
        <w:pStyle w:val="1"/>
        <w:jc w:val="both"/>
      </w:pPr>
      <w:r>
        <w:rPr>
          <w:sz w:val="20"/>
        </w:rPr>
        <w:t xml:space="preserve">    (нужное отметить знаком "V"):  │ │ Отец  │ │ Попечитель</w:t>
      </w:r>
    </w:p>
    <w:p>
      <w:pPr>
        <w:pStyle w:val="1"/>
        <w:jc w:val="both"/>
      </w:pPr>
      <w:r>
        <w:rPr>
          <w:sz w:val="20"/>
        </w:rPr>
        <w:t xml:space="preserve">                                   └─┘       └─┘</w:t>
      </w:r>
    </w:p>
    <w:p>
      <w:pPr>
        <w:pStyle w:val="1"/>
        <w:jc w:val="both"/>
      </w:pPr>
      <w:r>
        <w:rPr>
          <w:sz w:val="20"/>
        </w:rPr>
        <w:t xml:space="preserve">2.8 Вид  документа,   удостоверяющего  личность  или  паспорт  иностранного</w:t>
      </w:r>
    </w:p>
    <w:p>
      <w:pPr>
        <w:pStyle w:val="1"/>
        <w:jc w:val="both"/>
      </w:pPr>
      <w:r>
        <w:rPr>
          <w:sz w:val="20"/>
        </w:rPr>
        <w:t xml:space="preserve">    гражданина,  либо  иной  документ,  установленный  федеральным  законом</w:t>
      </w:r>
    </w:p>
    <w:p>
      <w:pPr>
        <w:pStyle w:val="1"/>
        <w:jc w:val="both"/>
      </w:pPr>
      <w:r>
        <w:rPr>
          <w:sz w:val="20"/>
        </w:rPr>
        <w:t xml:space="preserve">    или признаваемый  в соответствии с международным  договором  Российской</w:t>
      </w:r>
    </w:p>
    <w:p>
      <w:pPr>
        <w:pStyle w:val="1"/>
        <w:jc w:val="both"/>
      </w:pPr>
      <w:r>
        <w:rPr>
          <w:sz w:val="20"/>
        </w:rPr>
        <w:t xml:space="preserve">    Федерации в качестве документа, удостоверяющего  личность  иностранного</w:t>
      </w:r>
    </w:p>
    <w:p>
      <w:pPr>
        <w:pStyle w:val="1"/>
        <w:jc w:val="both"/>
      </w:pPr>
      <w:r>
        <w:rPr>
          <w:sz w:val="20"/>
        </w:rPr>
        <w:t xml:space="preserve">    гражданина ____________________________________________________________</w:t>
      </w:r>
    </w:p>
    <w:p>
      <w:pPr>
        <w:pStyle w:val="1"/>
        <w:jc w:val="both"/>
      </w:pPr>
      <w:r>
        <w:rPr>
          <w:sz w:val="20"/>
        </w:rPr>
        <w:t xml:space="preserve">2.9 Серия _____________ Номер _______________ 2.10 Дата выдачи ____________</w:t>
      </w:r>
    </w:p>
    <w:p>
      <w:pPr>
        <w:pStyle w:val="1"/>
        <w:jc w:val="both"/>
      </w:pPr>
      <w:r>
        <w:rPr>
          <w:sz w:val="20"/>
        </w:rPr>
        <w:t xml:space="preserve">    Кем выдан _____________________________________________________________</w:t>
      </w:r>
    </w:p>
    <w:p>
      <w:pPr>
        <w:pStyle w:val="1"/>
        <w:jc w:val="both"/>
      </w:pPr>
      <w:r>
        <w:rPr>
          <w:sz w:val="20"/>
        </w:rPr>
        <w:t xml:space="preserve">    _______________________________________________________________________</w:t>
      </w:r>
    </w:p>
    <w:p>
      <w:pPr>
        <w:pStyle w:val="1"/>
        <w:jc w:val="both"/>
      </w:pPr>
      <w:r>
        <w:rPr>
          <w:sz w:val="20"/>
        </w:rPr>
        <w:t xml:space="preserve">2.11 </w:t>
      </w:r>
      <w:hyperlink w:history="0" w:anchor="P1932" w:tooltip="&lt;*&gt; Сведения подлежат заполнению после окончания переходного периода, определенного пунктом 41 Правил обязательного медицинского страхования.">
        <w:r>
          <w:rPr>
            <w:sz w:val="20"/>
            <w:color w:val="0000ff"/>
          </w:rPr>
          <w:t xml:space="preserve">&lt;*&gt;</w:t>
        </w:r>
      </w:hyperlink>
      <w:r>
        <w:rPr>
          <w:sz w:val="20"/>
        </w:rPr>
        <w:t xml:space="preserve"> Реквизиты     документа,    удостоверяющего    статус    законного</w:t>
      </w:r>
    </w:p>
    <w:p>
      <w:pPr>
        <w:pStyle w:val="1"/>
        <w:jc w:val="both"/>
      </w:pPr>
      <w:r>
        <w:rPr>
          <w:sz w:val="20"/>
        </w:rPr>
        <w:t xml:space="preserve">      представителя застрахованного лица:</w:t>
      </w:r>
    </w:p>
    <w:p>
      <w:pPr>
        <w:pStyle w:val="1"/>
        <w:jc w:val="both"/>
      </w:pPr>
      <w:r>
        <w:rPr>
          <w:sz w:val="20"/>
        </w:rPr>
        <w:t xml:space="preserve">      Серия _____________ Номер _____________ Дата выдачи _______________</w:t>
      </w:r>
    </w:p>
    <w:p>
      <w:pPr>
        <w:pStyle w:val="1"/>
        <w:jc w:val="both"/>
      </w:pPr>
      <w:r>
        <w:rPr>
          <w:sz w:val="20"/>
        </w:rPr>
        <w:t xml:space="preserve">2.12 </w:t>
      </w:r>
      <w:hyperlink w:history="0" w:anchor="P1932" w:tooltip="&lt;*&gt; Сведения подлежат заполнению после окончания переходного периода, определенного пунктом 41 Правил обязательного медицинского страхования.">
        <w:r>
          <w:rPr>
            <w:sz w:val="20"/>
            <w:color w:val="0000ff"/>
          </w:rPr>
          <w:t xml:space="preserve">&lt;*&gt;</w:t>
        </w:r>
      </w:hyperlink>
      <w:r>
        <w:rPr>
          <w:sz w:val="20"/>
        </w:rPr>
        <w:t xml:space="preserve"> Страховой  номер   индивидуального  лицевого  счета  (СНИЛС)  (при</w:t>
      </w:r>
    </w:p>
    <w:p>
      <w:pPr>
        <w:pStyle w:val="1"/>
        <w:jc w:val="both"/>
      </w:pPr>
      <w:r>
        <w:rPr>
          <w:sz w:val="20"/>
        </w:rPr>
        <w:t xml:space="preserve">         наличии) _________________________________________________________</w:t>
      </w:r>
    </w:p>
    <w:p>
      <w:pPr>
        <w:pStyle w:val="1"/>
        <w:jc w:val="both"/>
      </w:pPr>
      <w:r>
        <w:rPr>
          <w:sz w:val="20"/>
        </w:rPr>
        <w:t xml:space="preserve">2.13 </w:t>
      </w:r>
      <w:hyperlink w:history="0" w:anchor="P1932" w:tooltip="&lt;*&gt; Сведения подлежат заполнению после окончания переходного периода, определенного пунктом 41 Правил обязательного медицинского страхования.">
        <w:r>
          <w:rPr>
            <w:sz w:val="20"/>
            <w:color w:val="0000ff"/>
          </w:rPr>
          <w:t xml:space="preserve">&lt;*&gt;</w:t>
        </w:r>
      </w:hyperlink>
      <w:r>
        <w:rPr>
          <w:sz w:val="20"/>
        </w:rPr>
        <w:t xml:space="preserve"> Полис обязательного медицинского страхования (при наличии) _______</w:t>
      </w:r>
    </w:p>
    <w:p>
      <w:pPr>
        <w:pStyle w:val="1"/>
        <w:jc w:val="both"/>
      </w:pPr>
      <w:r>
        <w:rPr>
          <w:sz w:val="20"/>
        </w:rPr>
        <w:t xml:space="preserve">2.14 </w:t>
      </w:r>
      <w:hyperlink w:history="0" w:anchor="P1932" w:tooltip="&lt;*&gt; Сведения подлежат заполнению после окончания переходного периода, определенного пунктом 41 Правил обязательного медицинского страхования.">
        <w:r>
          <w:rPr>
            <w:sz w:val="20"/>
            <w:color w:val="0000ff"/>
          </w:rPr>
          <w:t xml:space="preserve">&lt;*&gt;</w:t>
        </w:r>
      </w:hyperlink>
      <w:r>
        <w:rPr>
          <w:sz w:val="20"/>
        </w:rPr>
        <w:t xml:space="preserve"> Адрес регистрации по месту жительства в Российской Федерации </w:t>
      </w:r>
      <w:hyperlink w:history="0" w:anchor="P1928" w:tooltip="&lt;9&gt; Указывается адрес места постоянной регистрации представителя застрахованного лица.">
        <w:r>
          <w:rPr>
            <w:sz w:val="20"/>
            <w:color w:val="0000ff"/>
          </w:rPr>
          <w:t xml:space="preserve">&lt;9&gt;</w:t>
        </w:r>
      </w:hyperlink>
      <w:r>
        <w:rPr>
          <w:sz w:val="20"/>
        </w:rPr>
        <w:t xml:space="preserve">:</w:t>
      </w:r>
    </w:p>
    <w:p>
      <w:pPr>
        <w:pStyle w:val="1"/>
        <w:jc w:val="both"/>
      </w:pPr>
      <w:r>
        <w:rPr>
          <w:sz w:val="20"/>
        </w:rPr>
        <w:t xml:space="preserve">                      ┌─┬─┬─┬─┬─┬─┐</w:t>
      </w:r>
    </w:p>
    <w:p>
      <w:pPr>
        <w:pStyle w:val="1"/>
        <w:jc w:val="both"/>
      </w:pPr>
      <w:r>
        <w:rPr>
          <w:sz w:val="20"/>
        </w:rPr>
        <w:t xml:space="preserve">    а) почтовый индекс│ │ │ │ │ │ │ б) субъект Российской</w:t>
      </w:r>
    </w:p>
    <w:p>
      <w:pPr>
        <w:pStyle w:val="1"/>
        <w:jc w:val="both"/>
      </w:pPr>
      <w:r>
        <w:rPr>
          <w:sz w:val="20"/>
        </w:rPr>
        <w:t xml:space="preserve">                      └─┴─┴─┴─┴─┴─┘    Федерации __________________________</w:t>
      </w:r>
    </w:p>
    <w:p>
      <w:pPr>
        <w:pStyle w:val="1"/>
        <w:jc w:val="both"/>
      </w:pPr>
      <w:r>
        <w:rPr>
          <w:sz w:val="20"/>
        </w:rPr>
        <w:t xml:space="preserve">                                         (республика, край, область, округ)</w:t>
      </w:r>
    </w:p>
    <w:p>
      <w:pPr>
        <w:pStyle w:val="1"/>
        <w:jc w:val="both"/>
      </w:pPr>
      <w:r>
        <w:rPr>
          <w:sz w:val="20"/>
        </w:rPr>
        <w:t xml:space="preserve">    в) район ___________________________ г) город _________________________</w:t>
      </w:r>
    </w:p>
    <w:p>
      <w:pPr>
        <w:pStyle w:val="1"/>
        <w:jc w:val="both"/>
      </w:pPr>
      <w:r>
        <w:rPr>
          <w:sz w:val="20"/>
        </w:rPr>
        <w:t xml:space="preserve">    д) населенный пункт ________________ е) улица _________________________</w:t>
      </w:r>
    </w:p>
    <w:p>
      <w:pPr>
        <w:pStyle w:val="1"/>
        <w:jc w:val="both"/>
      </w:pPr>
      <w:r>
        <w:rPr>
          <w:sz w:val="20"/>
        </w:rPr>
        <w:t xml:space="preserve">    ж) N дома (владения) ___ з) корпус (строение) __ и) квартира (ком.) ___</w:t>
      </w:r>
    </w:p>
    <w:p>
      <w:pPr>
        <w:pStyle w:val="1"/>
        <w:jc w:val="both"/>
      </w:pPr>
      <w:r>
        <w:rPr>
          <w:sz w:val="20"/>
        </w:rPr>
        <w:t xml:space="preserve">    к) дата регистрации по месту жительства _______________________________</w:t>
      </w:r>
    </w:p>
    <w:p>
      <w:pPr>
        <w:pStyle w:val="1"/>
        <w:jc w:val="both"/>
      </w:pPr>
      <w:r>
        <w:rPr>
          <w:sz w:val="20"/>
        </w:rPr>
        <w:t xml:space="preserve">    ┌─┐</w:t>
      </w:r>
    </w:p>
    <w:p>
      <w:pPr>
        <w:pStyle w:val="1"/>
        <w:jc w:val="both"/>
      </w:pPr>
      <w:r>
        <w:rPr>
          <w:sz w:val="20"/>
        </w:rPr>
        <w:t xml:space="preserve">    │ │ лицо без определенного места жительства </w:t>
      </w:r>
      <w:hyperlink w:history="0" w:anchor="P1929" w:tooltip="&lt;10&gt; Отмечается знаком &quot;V&quot;.">
        <w:r>
          <w:rPr>
            <w:sz w:val="20"/>
            <w:color w:val="0000ff"/>
          </w:rPr>
          <w:t xml:space="preserve">&lt;10&gt;</w:t>
        </w:r>
      </w:hyperlink>
      <w:r>
        <w:rPr>
          <w:sz w:val="20"/>
        </w:rPr>
        <w:t xml:space="preserve"> ______________________</w:t>
      </w:r>
    </w:p>
    <w:p>
      <w:pPr>
        <w:pStyle w:val="1"/>
        <w:jc w:val="both"/>
      </w:pPr>
      <w:r>
        <w:rPr>
          <w:sz w:val="20"/>
        </w:rPr>
        <w:t xml:space="preserve">    └─┘</w:t>
      </w:r>
    </w:p>
    <w:p>
      <w:pPr>
        <w:pStyle w:val="1"/>
        <w:jc w:val="both"/>
      </w:pPr>
      <w:r>
        <w:rPr>
          <w:sz w:val="20"/>
        </w:rPr>
        <w:t xml:space="preserve">2.15 </w:t>
      </w:r>
      <w:hyperlink w:history="0" w:anchor="P1932" w:tooltip="&lt;*&gt; Сведения подлежат заполнению после окончания переходного периода, определенного пунктом 41 Правил обязательного медицинского страхования.">
        <w:r>
          <w:rPr>
            <w:sz w:val="20"/>
            <w:color w:val="0000ff"/>
          </w:rPr>
          <w:t xml:space="preserve">&lt;*&gt;</w:t>
        </w:r>
      </w:hyperlink>
      <w:r>
        <w:rPr>
          <w:sz w:val="20"/>
        </w:rPr>
        <w:t xml:space="preserve"> Адрес   места   пребывания  </w:t>
      </w:r>
      <w:hyperlink w:history="0" w:anchor="P1930" w:tooltip="&lt;11&gt; Указывается адрес места временной регистрации или фактического пребывания представителя застрахованного лица.">
        <w:r>
          <w:rPr>
            <w:sz w:val="20"/>
            <w:color w:val="0000ff"/>
          </w:rPr>
          <w:t xml:space="preserve">&lt;11&gt;</w:t>
        </w:r>
      </w:hyperlink>
      <w:r>
        <w:rPr>
          <w:sz w:val="20"/>
        </w:rPr>
        <w:t xml:space="preserve"> (указывается  в случае пребывания</w:t>
      </w:r>
    </w:p>
    <w:p>
      <w:pPr>
        <w:pStyle w:val="1"/>
        <w:jc w:val="both"/>
      </w:pPr>
      <w:r>
        <w:rPr>
          <w:sz w:val="20"/>
        </w:rPr>
        <w:t xml:space="preserve">     гражданина  по  адресу,  отличному  от  адреса  регистрации  по  месту</w:t>
      </w:r>
    </w:p>
    <w:p>
      <w:pPr>
        <w:pStyle w:val="1"/>
        <w:jc w:val="both"/>
      </w:pPr>
      <w:r>
        <w:rPr>
          <w:sz w:val="20"/>
        </w:rPr>
        <w:t xml:space="preserve">     жительства):</w:t>
      </w:r>
    </w:p>
    <w:p>
      <w:pPr>
        <w:pStyle w:val="1"/>
        <w:jc w:val="both"/>
      </w:pPr>
      <w:r>
        <w:rPr>
          <w:sz w:val="20"/>
        </w:rPr>
        <w:t xml:space="preserve">                      ┌─┬─┬─┬─┬─┬─┐</w:t>
      </w:r>
    </w:p>
    <w:p>
      <w:pPr>
        <w:pStyle w:val="1"/>
        <w:jc w:val="both"/>
      </w:pPr>
      <w:r>
        <w:rPr>
          <w:sz w:val="20"/>
        </w:rPr>
        <w:t xml:space="preserve">    а) почтовый индекс│ │ │ │ │ │ │ б) субъект Российской</w:t>
      </w:r>
    </w:p>
    <w:p>
      <w:pPr>
        <w:pStyle w:val="1"/>
        <w:jc w:val="both"/>
      </w:pPr>
      <w:r>
        <w:rPr>
          <w:sz w:val="20"/>
        </w:rPr>
        <w:t xml:space="preserve">                      └─┴─┴─┴─┴─┴─┘    Федерации __________________________</w:t>
      </w:r>
    </w:p>
    <w:p>
      <w:pPr>
        <w:pStyle w:val="1"/>
        <w:jc w:val="both"/>
      </w:pPr>
      <w:r>
        <w:rPr>
          <w:sz w:val="20"/>
        </w:rPr>
        <w:t xml:space="preserve">                                         (республика, край, область, округ)</w:t>
      </w:r>
    </w:p>
    <w:p>
      <w:pPr>
        <w:pStyle w:val="1"/>
        <w:jc w:val="both"/>
      </w:pPr>
      <w:r>
        <w:rPr>
          <w:sz w:val="20"/>
        </w:rPr>
        <w:t xml:space="preserve">    в) район ___________________________ г) город _________________________</w:t>
      </w:r>
    </w:p>
    <w:p>
      <w:pPr>
        <w:pStyle w:val="1"/>
        <w:jc w:val="both"/>
      </w:pPr>
      <w:r>
        <w:rPr>
          <w:sz w:val="20"/>
        </w:rPr>
        <w:t xml:space="preserve">    д) населенный пункт ________________ е) улица _________________________</w:t>
      </w:r>
    </w:p>
    <w:p>
      <w:pPr>
        <w:pStyle w:val="1"/>
        <w:jc w:val="both"/>
      </w:pPr>
      <w:r>
        <w:rPr>
          <w:sz w:val="20"/>
        </w:rPr>
        <w:t xml:space="preserve">    ж) N дома (владения) ___ з) корпус (строение) __ и) квартира (ком.) ___</w:t>
      </w:r>
    </w:p>
    <w:p>
      <w:pPr>
        <w:pStyle w:val="1"/>
        <w:jc w:val="both"/>
      </w:pPr>
      <w:r>
        <w:rPr>
          <w:sz w:val="20"/>
        </w:rPr>
        <w:t xml:space="preserve">2.16 Телефон (с кодом): мобильный _________ домашний _______ служебный ____</w:t>
      </w:r>
    </w:p>
    <w:p>
      <w:pPr>
        <w:pStyle w:val="1"/>
        <w:jc w:val="both"/>
      </w:pPr>
      <w:r>
        <w:rPr>
          <w:sz w:val="20"/>
        </w:rPr>
        <w:t xml:space="preserve">2.17 Адрес электронной почты ______________________________________________</w:t>
      </w:r>
    </w:p>
    <w:p>
      <w:pPr>
        <w:pStyle w:val="1"/>
        <w:jc w:val="both"/>
      </w:pPr>
      <w:r>
        <w:rPr>
          <w:sz w:val="20"/>
        </w:rPr>
      </w:r>
    </w:p>
    <w:p>
      <w:pPr>
        <w:pStyle w:val="1"/>
        <w:jc w:val="both"/>
      </w:pPr>
      <w:r>
        <w:rPr>
          <w:sz w:val="20"/>
        </w:rPr>
        <w:t xml:space="preserve">         3. Достоверность и полноту указанных сведений подтверждаю</w:t>
      </w:r>
    </w:p>
    <w:p>
      <w:pPr>
        <w:pStyle w:val="0"/>
        <w:jc w:val="both"/>
      </w:pPr>
      <w:r>
        <w:rPr>
          <w:sz w:val="24"/>
        </w:rPr>
      </w:r>
    </w:p>
    <w:tbl>
      <w:tblPr>
        <w:tblInd w:w="0" w:type="dxa"/>
        <w:tblLayout w:type="fixed"/>
        <w:tblCellMar>
          <w:top w:w="102" w:type="dxa"/>
          <w:left w:w="62" w:type="dxa"/>
          <w:bottom w:w="102" w:type="dxa"/>
          <w:right w:w="62" w:type="dxa"/>
        </w:tblCellMar>
      </w:tblPr>
      <w:tblGrid>
        <w:gridCol w:w="3628"/>
        <w:gridCol w:w="340"/>
        <w:gridCol w:w="1701"/>
        <w:gridCol w:w="340"/>
        <w:gridCol w:w="737"/>
        <w:gridCol w:w="2324"/>
      </w:tblGrid>
      <w:tr>
        <w:tc>
          <w:tcPr>
            <w:tcW w:w="3628" w:type="dxa"/>
            <w:vAlign w:val="bottom"/>
            <w:tcBorders>
              <w:top w:val="nil"/>
              <w:left w:val="nil"/>
              <w:bottom w:val="nil"/>
              <w:right w:val="nil"/>
            </w:tcBorders>
          </w:tcPr>
          <w:p>
            <w:pPr>
              <w:pStyle w:val="0"/>
              <w:jc w:val="center"/>
            </w:pPr>
            <w:r>
              <w:drawing>
                <wp:inline distT="0" distB="0" distL="0" distR="0">
                  <wp:extent cx="1887220" cy="16065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76">
                            <a:extLst>
                              <a:ext uri="{28A0092B-C50C-407E-A947-70E740481C1C}">
                                <a14:useLocalDpi xmlns:a14="http://schemas.microsoft.com/office/drawing/2010/main" val="0"/>
                              </a:ext>
                            </a:extLst>
                          </a:blip>
                          <a:srcRect/>
                          <a:stretch>
                            <a:fillRect/>
                          </a:stretch>
                        </pic:blipFill>
                        <pic:spPr bwMode="auto">
                          <a:xfrm>
                            <a:off x="0" y="0"/>
                            <a:ext cx="1887220" cy="160655"/>
                          </a:xfrm>
                          <a:prstGeom prst="rect">
                            <a:avLst/>
                          </a:prstGeom>
                          <a:noFill/>
                          <a:ln>
                            <a:noFill/>
                          </a:ln>
                        </pic:spPr>
                      </pic:pic>
                    </a:graphicData>
                  </a:graphic>
                </wp:inline>
              </w:drawing>
            </w:r>
          </w:p>
        </w:tc>
        <w:tc>
          <w:tcPr>
            <w:tcW w:w="340" w:type="dxa"/>
            <w:tcBorders>
              <w:top w:val="nil"/>
              <w:left w:val="nil"/>
              <w:bottom w:val="nil"/>
              <w:right w:val="nil"/>
            </w:tcBorders>
          </w:tcPr>
          <w:p>
            <w:pPr>
              <w:pStyle w:val="0"/>
            </w:pPr>
            <w:r>
              <w:rPr>
                <w:sz w:val="24"/>
              </w:rPr>
            </w:r>
          </w:p>
        </w:tc>
        <w:tc>
          <w:tcPr>
            <w:tcW w:w="1701" w:type="dxa"/>
            <w:tcBorders>
              <w:top w:val="nil"/>
              <w:left w:val="nil"/>
              <w:bottom w:val="single" w:sz="4"/>
              <w:right w:val="nil"/>
            </w:tcBorders>
          </w:tcPr>
          <w:p>
            <w:pPr>
              <w:pStyle w:val="0"/>
            </w:pPr>
            <w:r>
              <w:rPr>
                <w:sz w:val="24"/>
              </w:rPr>
            </w:r>
          </w:p>
        </w:tc>
        <w:tc>
          <w:tcPr>
            <w:tcW w:w="340" w:type="dxa"/>
            <w:tcBorders>
              <w:top w:val="nil"/>
              <w:left w:val="nil"/>
              <w:bottom w:val="nil"/>
              <w:right w:val="nil"/>
            </w:tcBorders>
          </w:tcPr>
          <w:p>
            <w:pPr>
              <w:pStyle w:val="0"/>
            </w:pPr>
            <w:r>
              <w:rPr>
                <w:sz w:val="24"/>
              </w:rPr>
            </w:r>
          </w:p>
        </w:tc>
        <w:tc>
          <w:tcPr>
            <w:tcW w:w="737" w:type="dxa"/>
            <w:vAlign w:val="bottom"/>
            <w:tcBorders>
              <w:top w:val="nil"/>
              <w:left w:val="nil"/>
              <w:bottom w:val="nil"/>
              <w:right w:val="nil"/>
            </w:tcBorders>
          </w:tcPr>
          <w:p>
            <w:pPr>
              <w:pStyle w:val="0"/>
              <w:jc w:val="both"/>
            </w:pPr>
            <w:r>
              <w:rPr>
                <w:sz w:val="24"/>
              </w:rPr>
              <w:t xml:space="preserve">Дата:</w:t>
            </w:r>
          </w:p>
        </w:tc>
        <w:tc>
          <w:tcPr>
            <w:tcW w:w="2324" w:type="dxa"/>
            <w:tcBorders>
              <w:top w:val="nil"/>
              <w:left w:val="nil"/>
              <w:bottom w:val="single" w:sz="4"/>
              <w:right w:val="nil"/>
            </w:tcBorders>
          </w:tcPr>
          <w:p>
            <w:pPr>
              <w:pStyle w:val="0"/>
            </w:pPr>
            <w:r>
              <w:rPr>
                <w:sz w:val="24"/>
              </w:rPr>
            </w:r>
          </w:p>
        </w:tc>
      </w:tr>
      <w:tr>
        <w:tc>
          <w:tcPr>
            <w:tcW w:w="3628" w:type="dxa"/>
            <w:tcBorders>
              <w:top w:val="nil"/>
              <w:left w:val="nil"/>
              <w:bottom w:val="nil"/>
              <w:right w:val="nil"/>
            </w:tcBorders>
          </w:tcPr>
          <w:p>
            <w:pPr>
              <w:pStyle w:val="0"/>
              <w:jc w:val="center"/>
            </w:pPr>
            <w:r>
              <w:rPr>
                <w:sz w:val="24"/>
              </w:rPr>
              <w:t xml:space="preserve">(подпись застрахованного лица/его представителя) </w:t>
            </w:r>
            <w:hyperlink w:history="0" w:anchor="P1931" w:tooltip="&lt;12&gt; Нужное подчеркнуть.">
              <w:r>
                <w:rPr>
                  <w:sz w:val="24"/>
                  <w:color w:val="0000ff"/>
                </w:rPr>
                <w:t xml:space="preserve">&lt;12&gt;</w:t>
              </w:r>
            </w:hyperlink>
          </w:p>
        </w:tc>
        <w:tc>
          <w:tcPr>
            <w:tcW w:w="340" w:type="dxa"/>
            <w:tcBorders>
              <w:top w:val="nil"/>
              <w:left w:val="nil"/>
              <w:bottom w:val="nil"/>
              <w:right w:val="nil"/>
            </w:tcBorders>
          </w:tcPr>
          <w:p>
            <w:pPr>
              <w:pStyle w:val="0"/>
            </w:pPr>
            <w:r>
              <w:rPr>
                <w:sz w:val="24"/>
              </w:rPr>
            </w:r>
          </w:p>
        </w:tc>
        <w:tc>
          <w:tcPr>
            <w:tcW w:w="1701" w:type="dxa"/>
            <w:tcBorders>
              <w:top w:val="single" w:sz="4"/>
              <w:left w:val="nil"/>
              <w:bottom w:val="nil"/>
              <w:right w:val="nil"/>
            </w:tcBorders>
          </w:tcPr>
          <w:p>
            <w:pPr>
              <w:pStyle w:val="0"/>
              <w:jc w:val="center"/>
            </w:pPr>
            <w:r>
              <w:rPr>
                <w:sz w:val="24"/>
              </w:rPr>
              <w:t xml:space="preserve">(расшифровка подписи)</w:t>
            </w:r>
          </w:p>
        </w:tc>
        <w:tc>
          <w:tcPr>
            <w:tcW w:w="340" w:type="dxa"/>
            <w:tcBorders>
              <w:top w:val="nil"/>
              <w:left w:val="nil"/>
              <w:bottom w:val="nil"/>
              <w:right w:val="nil"/>
            </w:tcBorders>
          </w:tcPr>
          <w:p>
            <w:pPr>
              <w:pStyle w:val="0"/>
            </w:pPr>
            <w:r>
              <w:rPr>
                <w:sz w:val="24"/>
              </w:rPr>
            </w:r>
          </w:p>
        </w:tc>
        <w:tc>
          <w:tcPr>
            <w:tcW w:w="737" w:type="dxa"/>
            <w:tcBorders>
              <w:top w:val="nil"/>
              <w:left w:val="nil"/>
              <w:bottom w:val="nil"/>
              <w:right w:val="nil"/>
            </w:tcBorders>
          </w:tcPr>
          <w:p>
            <w:pPr>
              <w:pStyle w:val="0"/>
            </w:pPr>
            <w:r>
              <w:rPr>
                <w:sz w:val="24"/>
              </w:rPr>
            </w:r>
          </w:p>
        </w:tc>
        <w:tc>
          <w:tcPr>
            <w:tcW w:w="2324" w:type="dxa"/>
            <w:tcBorders>
              <w:top w:val="single" w:sz="4"/>
              <w:left w:val="nil"/>
              <w:bottom w:val="nil"/>
              <w:right w:val="nil"/>
            </w:tcBorders>
          </w:tcPr>
          <w:p>
            <w:pPr>
              <w:pStyle w:val="0"/>
              <w:jc w:val="center"/>
            </w:pPr>
            <w:r>
              <w:rPr>
                <w:sz w:val="24"/>
              </w:rPr>
              <w:t xml:space="preserve">(число, месяц, год)</w:t>
            </w:r>
          </w:p>
        </w:tc>
      </w:tr>
    </w:tbl>
    <w:p>
      <w:pPr>
        <w:pStyle w:val="0"/>
        <w:jc w:val="both"/>
      </w:pPr>
      <w:r>
        <w:rPr>
          <w:sz w:val="24"/>
        </w:rPr>
      </w:r>
    </w:p>
    <w:p>
      <w:pPr>
        <w:pStyle w:val="1"/>
        <w:jc w:val="both"/>
      </w:pPr>
      <w:r>
        <w:rPr>
          <w:sz w:val="20"/>
        </w:rPr>
        <w:t xml:space="preserve">Данные подтверждены: _____________________            _____________________</w:t>
      </w:r>
    </w:p>
    <w:p>
      <w:pPr>
        <w:pStyle w:val="1"/>
        <w:jc w:val="both"/>
      </w:pPr>
      <w:r>
        <w:rPr>
          <w:sz w:val="20"/>
        </w:rPr>
        <w:t xml:space="preserve">          (подпись представителя страховой            (расшифровка подписи)</w:t>
      </w:r>
    </w:p>
    <w:p>
      <w:pPr>
        <w:pStyle w:val="1"/>
        <w:jc w:val="both"/>
      </w:pPr>
      <w:r>
        <w:rPr>
          <w:sz w:val="20"/>
        </w:rPr>
        <w:t xml:space="preserve">          медицинской организации (филиала)</w:t>
      </w:r>
    </w:p>
    <w:p>
      <w:pPr>
        <w:pStyle w:val="1"/>
        <w:jc w:val="both"/>
      </w:pPr>
      <w:r>
        <w:rPr>
          <w:sz w:val="20"/>
        </w:rPr>
        <w:t xml:space="preserve">                                                М.П.</w:t>
      </w:r>
    </w:p>
    <w:p>
      <w:pPr>
        <w:pStyle w:val="1"/>
        <w:jc w:val="both"/>
      </w:pPr>
      <w:r>
        <w:rPr>
          <w:sz w:val="20"/>
        </w:rPr>
        <w:t xml:space="preserve">┌─┐</w:t>
      </w:r>
    </w:p>
    <w:p>
      <w:pPr>
        <w:pStyle w:val="1"/>
        <w:jc w:val="both"/>
      </w:pPr>
      <w:r>
        <w:rPr>
          <w:sz w:val="20"/>
        </w:rPr>
        <w:t xml:space="preserve">│ │ Согласен  (согласна)  на  индивидуальное  информационное  сопровождение</w:t>
      </w:r>
    </w:p>
    <w:p>
      <w:pPr>
        <w:pStyle w:val="1"/>
        <w:jc w:val="both"/>
      </w:pPr>
      <w:r>
        <w:rPr>
          <w:sz w:val="20"/>
        </w:rPr>
        <w:t xml:space="preserve">└─┘ страховой медицинской организацией на всех этапах оказания  медицинской</w:t>
      </w:r>
    </w:p>
    <w:p>
      <w:pPr>
        <w:pStyle w:val="1"/>
        <w:jc w:val="both"/>
      </w:pPr>
      <w:r>
        <w:rPr>
          <w:sz w:val="20"/>
        </w:rPr>
        <w:t xml:space="preserve">    помощи  и по вопросам организации  оказания медицинской  помощи в сфере</w:t>
      </w:r>
    </w:p>
    <w:p>
      <w:pPr>
        <w:pStyle w:val="1"/>
        <w:jc w:val="both"/>
      </w:pPr>
      <w:r>
        <w:rPr>
          <w:sz w:val="20"/>
        </w:rPr>
        <w:t xml:space="preserve">    обязательного   медицинского  страхования,   а   также  на  устное  или</w:t>
      </w:r>
    </w:p>
    <w:p>
      <w:pPr>
        <w:pStyle w:val="1"/>
        <w:jc w:val="both"/>
      </w:pPr>
      <w:r>
        <w:rPr>
          <w:sz w:val="20"/>
        </w:rPr>
        <w:t xml:space="preserve">    письменное информирование по указанным мной контактным  данным в рамках</w:t>
      </w:r>
    </w:p>
    <w:p>
      <w:pPr>
        <w:pStyle w:val="1"/>
        <w:jc w:val="both"/>
      </w:pPr>
      <w:r>
        <w:rPr>
          <w:sz w:val="20"/>
        </w:rPr>
        <w:t xml:space="preserve">    законодательства  в  сфере   обязательного   медицинского   страхования</w:t>
      </w:r>
    </w:p>
    <w:p>
      <w:pPr>
        <w:pStyle w:val="1"/>
        <w:jc w:val="both"/>
      </w:pPr>
      <w:r>
        <w:rPr>
          <w:sz w:val="20"/>
        </w:rPr>
        <w:t xml:space="preserve">    (о порядке получения полиса, необходимости прохождения профилактических</w:t>
      </w:r>
    </w:p>
    <w:p>
      <w:pPr>
        <w:pStyle w:val="1"/>
        <w:jc w:val="both"/>
      </w:pPr>
      <w:r>
        <w:rPr>
          <w:sz w:val="20"/>
        </w:rPr>
        <w:t xml:space="preserve">    медицинских осмотров,  диспансеризации, диспансерного  наблюдения, иное</w:t>
      </w:r>
    </w:p>
    <w:p>
      <w:pPr>
        <w:pStyle w:val="1"/>
        <w:jc w:val="both"/>
      </w:pPr>
      <w:r>
        <w:rPr>
          <w:sz w:val="20"/>
        </w:rPr>
        <w:t xml:space="preserve">    информирование) </w:t>
      </w:r>
      <w:hyperlink w:history="0" w:anchor="P1922" w:tooltip="&lt;3&gt; Поле обязательное для заполнения.">
        <w:r>
          <w:rPr>
            <w:sz w:val="20"/>
            <w:color w:val="0000ff"/>
          </w:rPr>
          <w:t xml:space="preserve">&lt;3&gt;</w:t>
        </w:r>
      </w:hyperlink>
      <w:r>
        <w:rPr>
          <w:sz w:val="20"/>
        </w:rPr>
        <w:t xml:space="preserve"> и получение выписки о полисе  из  единого  регистра</w:t>
      </w:r>
    </w:p>
    <w:p>
      <w:pPr>
        <w:pStyle w:val="1"/>
        <w:jc w:val="both"/>
      </w:pPr>
      <w:r>
        <w:rPr>
          <w:sz w:val="20"/>
        </w:rPr>
        <w:t xml:space="preserve">    застрахованных лиц по электронной почте.</w:t>
      </w:r>
    </w:p>
    <w:p>
      <w:pPr>
        <w:pStyle w:val="0"/>
        <w:jc w:val="both"/>
      </w:pPr>
      <w:r>
        <w:rPr>
          <w:sz w:val="24"/>
        </w:rPr>
      </w:r>
    </w:p>
    <w:tbl>
      <w:tblPr>
        <w:tblInd w:w="0" w:type="dxa"/>
        <w:tblLayout w:type="fixed"/>
        <w:tblCellMar>
          <w:top w:w="102" w:type="dxa"/>
          <w:left w:w="62" w:type="dxa"/>
          <w:bottom w:w="102" w:type="dxa"/>
          <w:right w:w="62" w:type="dxa"/>
        </w:tblCellMar>
      </w:tblPr>
      <w:tblGrid>
        <w:gridCol w:w="3288"/>
        <w:gridCol w:w="340"/>
        <w:gridCol w:w="5443"/>
      </w:tblGrid>
      <w:tr>
        <w:tc>
          <w:tcPr>
            <w:tcW w:w="3288" w:type="dxa"/>
            <w:vAlign w:val="bottom"/>
            <w:tcBorders>
              <w:top w:val="nil"/>
              <w:left w:val="nil"/>
              <w:bottom w:val="nil"/>
              <w:right w:val="nil"/>
            </w:tcBorders>
          </w:tcPr>
          <w:p>
            <w:pPr>
              <w:pStyle w:val="0"/>
              <w:jc w:val="center"/>
            </w:pPr>
            <w:r>
              <w:rPr>
                <w:position w:val="-3"/>
              </w:rPr>
              <w:drawing>
                <wp:inline distT="0" distB="0" distL="0" distR="0">
                  <wp:extent cx="1916430" cy="19050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77">
                            <a:extLst>
                              <a:ext uri="{28A0092B-C50C-407E-A947-70E740481C1C}">
                                <a14:useLocalDpi xmlns:a14="http://schemas.microsoft.com/office/drawing/2010/main" val="0"/>
                              </a:ext>
                            </a:extLst>
                          </a:blip>
                          <a:srcRect/>
                          <a:stretch>
                            <a:fillRect/>
                          </a:stretch>
                        </pic:blipFill>
                        <pic:spPr bwMode="auto">
                          <a:xfrm>
                            <a:off x="0" y="0"/>
                            <a:ext cx="1916430" cy="190500"/>
                          </a:xfrm>
                          <a:prstGeom prst="rect">
                            <a:avLst/>
                          </a:prstGeom>
                          <a:noFill/>
                          <a:ln>
                            <a:noFill/>
                          </a:ln>
                        </pic:spPr>
                      </pic:pic>
                    </a:graphicData>
                  </a:graphic>
                </wp:inline>
              </w:drawing>
            </w:r>
          </w:p>
        </w:tc>
        <w:tc>
          <w:tcPr>
            <w:tcW w:w="340" w:type="dxa"/>
            <w:tcBorders>
              <w:top w:val="nil"/>
              <w:left w:val="nil"/>
              <w:bottom w:val="nil"/>
              <w:right w:val="nil"/>
            </w:tcBorders>
          </w:tcPr>
          <w:p>
            <w:pPr>
              <w:pStyle w:val="0"/>
            </w:pPr>
            <w:r>
              <w:rPr>
                <w:sz w:val="24"/>
              </w:rPr>
            </w:r>
          </w:p>
        </w:tc>
        <w:tc>
          <w:tcPr>
            <w:tcW w:w="5443" w:type="dxa"/>
            <w:tcBorders>
              <w:top w:val="nil"/>
              <w:left w:val="nil"/>
              <w:bottom w:val="single" w:sz="4"/>
              <w:right w:val="nil"/>
            </w:tcBorders>
          </w:tcPr>
          <w:p>
            <w:pPr>
              <w:pStyle w:val="0"/>
            </w:pPr>
            <w:r>
              <w:rPr>
                <w:sz w:val="24"/>
              </w:rPr>
            </w:r>
          </w:p>
        </w:tc>
      </w:tr>
      <w:tr>
        <w:tc>
          <w:tcPr>
            <w:tcW w:w="3288" w:type="dxa"/>
            <w:tcBorders>
              <w:top w:val="nil"/>
              <w:left w:val="nil"/>
              <w:bottom w:val="nil"/>
              <w:right w:val="nil"/>
            </w:tcBorders>
          </w:tcPr>
          <w:p>
            <w:pPr>
              <w:pStyle w:val="0"/>
              <w:jc w:val="center"/>
            </w:pPr>
            <w:r>
              <w:rPr>
                <w:sz w:val="24"/>
              </w:rPr>
              <w:t xml:space="preserve">(подпись застрахованного лица/его представителя) </w:t>
            </w:r>
            <w:hyperlink w:history="0" w:anchor="P1931" w:tooltip="&lt;12&gt; Нужное подчеркнуть.">
              <w:r>
                <w:rPr>
                  <w:sz w:val="24"/>
                  <w:color w:val="0000ff"/>
                </w:rPr>
                <w:t xml:space="preserve">&lt;12&gt;</w:t>
              </w:r>
            </w:hyperlink>
          </w:p>
        </w:tc>
        <w:tc>
          <w:tcPr>
            <w:tcW w:w="340" w:type="dxa"/>
            <w:tcBorders>
              <w:top w:val="nil"/>
              <w:left w:val="nil"/>
              <w:bottom w:val="nil"/>
              <w:right w:val="nil"/>
            </w:tcBorders>
          </w:tcPr>
          <w:p>
            <w:pPr>
              <w:pStyle w:val="0"/>
            </w:pPr>
            <w:r>
              <w:rPr>
                <w:sz w:val="24"/>
              </w:rPr>
            </w:r>
          </w:p>
        </w:tc>
        <w:tc>
          <w:tcPr>
            <w:tcW w:w="5443" w:type="dxa"/>
            <w:tcBorders>
              <w:top w:val="single" w:sz="4"/>
              <w:left w:val="nil"/>
              <w:bottom w:val="nil"/>
              <w:right w:val="nil"/>
            </w:tcBorders>
          </w:tcPr>
          <w:p>
            <w:pPr>
              <w:pStyle w:val="0"/>
              <w:jc w:val="center"/>
            </w:pPr>
            <w:r>
              <w:rPr>
                <w:sz w:val="24"/>
              </w:rPr>
              <w:t xml:space="preserve">(расшифровка подписи)</w:t>
            </w:r>
          </w:p>
        </w:tc>
      </w:tr>
    </w:tbl>
    <w:p>
      <w:pPr>
        <w:pStyle w:val="0"/>
        <w:jc w:val="both"/>
      </w:pPr>
      <w:r>
        <w:rPr>
          <w:sz w:val="24"/>
        </w:rPr>
      </w:r>
    </w:p>
    <w:p>
      <w:pPr>
        <w:pStyle w:val="0"/>
        <w:ind w:firstLine="540"/>
        <w:jc w:val="both"/>
      </w:pPr>
      <w:r>
        <w:rPr>
          <w:sz w:val="24"/>
        </w:rPr>
        <w:t xml:space="preserve">--------------------------------</w:t>
      </w:r>
    </w:p>
    <w:bookmarkStart w:id="1920" w:name="P1920"/>
    <w:bookmarkEnd w:id="1920"/>
    <w:p>
      <w:pPr>
        <w:pStyle w:val="0"/>
        <w:spacing w:before="240" w:lineRule="auto"/>
        <w:ind w:firstLine="540"/>
        <w:jc w:val="both"/>
      </w:pPr>
      <w:r>
        <w:rPr>
          <w:sz w:val="24"/>
        </w:rPr>
        <w:t xml:space="preserve">&lt;1&gt; Для ребенка в возрасте до 14 лет - свидетельство о рождении.</w:t>
      </w:r>
    </w:p>
    <w:bookmarkStart w:id="1921" w:name="P1921"/>
    <w:bookmarkEnd w:id="1921"/>
    <w:p>
      <w:pPr>
        <w:pStyle w:val="0"/>
        <w:spacing w:before="240" w:lineRule="auto"/>
        <w:ind w:firstLine="540"/>
        <w:jc w:val="both"/>
      </w:pPr>
      <w:r>
        <w:rPr>
          <w:sz w:val="24"/>
        </w:rPr>
        <w:t xml:space="preserve">&lt;2&gt; При отсутствии отчества в документе, удостоверяющем личность, в графе отчество ставится прочерк.</w:t>
      </w:r>
    </w:p>
    <w:bookmarkStart w:id="1922" w:name="P1922"/>
    <w:bookmarkEnd w:id="1922"/>
    <w:p>
      <w:pPr>
        <w:pStyle w:val="0"/>
        <w:spacing w:before="240" w:lineRule="auto"/>
        <w:ind w:firstLine="540"/>
        <w:jc w:val="both"/>
      </w:pPr>
      <w:r>
        <w:rPr>
          <w:sz w:val="24"/>
        </w:rPr>
        <w:t xml:space="preserve">&lt;3&gt; Поле обязательное для заполнения.</w:t>
      </w:r>
    </w:p>
    <w:bookmarkStart w:id="1923" w:name="P1923"/>
    <w:bookmarkEnd w:id="1923"/>
    <w:p>
      <w:pPr>
        <w:pStyle w:val="0"/>
        <w:spacing w:before="240" w:lineRule="auto"/>
        <w:ind w:firstLine="540"/>
        <w:jc w:val="both"/>
      </w:pPr>
      <w:r>
        <w:rPr>
          <w:sz w:val="24"/>
        </w:rPr>
        <w:t xml:space="preserve">&lt;4&gt; Указывается адрес места постоянной регистрации застрахованного.</w:t>
      </w:r>
    </w:p>
    <w:bookmarkStart w:id="1924" w:name="P1924"/>
    <w:bookmarkEnd w:id="1924"/>
    <w:p>
      <w:pPr>
        <w:pStyle w:val="0"/>
        <w:spacing w:before="240" w:lineRule="auto"/>
        <w:ind w:firstLine="540"/>
        <w:jc w:val="both"/>
      </w:pPr>
      <w:r>
        <w:rPr>
          <w:sz w:val="24"/>
        </w:rPr>
        <w:t xml:space="preserve">&lt;5&gt; Отмечается знаком "V".</w:t>
      </w:r>
    </w:p>
    <w:bookmarkStart w:id="1925" w:name="P1925"/>
    <w:bookmarkEnd w:id="1925"/>
    <w:p>
      <w:pPr>
        <w:pStyle w:val="0"/>
        <w:spacing w:before="240" w:lineRule="auto"/>
        <w:ind w:firstLine="540"/>
        <w:jc w:val="both"/>
      </w:pPr>
      <w:r>
        <w:rPr>
          <w:sz w:val="24"/>
        </w:rPr>
        <w:t xml:space="preserve">&lt;6&gt; Указывается адрес места временной регистрации или фактического пребывания застрахованного.</w:t>
      </w:r>
    </w:p>
    <w:bookmarkStart w:id="1926" w:name="P1926"/>
    <w:bookmarkEnd w:id="1926"/>
    <w:p>
      <w:pPr>
        <w:pStyle w:val="0"/>
        <w:spacing w:before="240" w:lineRule="auto"/>
        <w:ind w:firstLine="540"/>
        <w:jc w:val="both"/>
      </w:pPr>
      <w:r>
        <w:rPr>
          <w:sz w:val="24"/>
        </w:rPr>
        <w:t xml:space="preserve">&lt;7&gt; Для лиц, указанных в </w:t>
      </w:r>
      <w:hyperlink w:history="0" w:anchor="P121" w:tooltip="3) для иностранных граждан, постоянно проживающих в Российской Федерации:">
        <w:r>
          <w:rPr>
            <w:sz w:val="24"/>
            <w:color w:val="0000ff"/>
          </w:rPr>
          <w:t xml:space="preserve">подпунктах 3</w:t>
        </w:r>
      </w:hyperlink>
      <w:r>
        <w:rPr>
          <w:sz w:val="24"/>
        </w:rPr>
        <w:t xml:space="preserve">, </w:t>
      </w:r>
      <w:hyperlink w:history="0" w:anchor="P128" w:tooltip="4) для лиц без гражданства, постоянно проживающих в Российской Федерации:">
        <w:r>
          <w:rPr>
            <w:sz w:val="24"/>
            <w:color w:val="0000ff"/>
          </w:rPr>
          <w:t xml:space="preserve">4</w:t>
        </w:r>
      </w:hyperlink>
      <w:r>
        <w:rPr>
          <w:sz w:val="24"/>
        </w:rPr>
        <w:t xml:space="preserve">, </w:t>
      </w:r>
      <w:hyperlink w:history="0" w:anchor="P131" w:tooltip="5) для лиц, имеющих право на медицинскую помощь в соответствии с Федеральным законом от 19 февраля 1993 г. N 4528-1 &quot;О беженцах&quot; (далее - Федеральный закон &quot;О беженцах&quot;):">
        <w:r>
          <w:rPr>
            <w:sz w:val="24"/>
            <w:color w:val="0000ff"/>
          </w:rPr>
          <w:t xml:space="preserve">5</w:t>
        </w:r>
      </w:hyperlink>
      <w:r>
        <w:rPr>
          <w:sz w:val="24"/>
        </w:rPr>
        <w:t xml:space="preserve">, </w:t>
      </w:r>
      <w:hyperlink w:history="0" w:anchor="P133" w:tooltip="6) для иностранных граждан, временно проживающих в Российской Федерации:">
        <w:r>
          <w:rPr>
            <w:sz w:val="24"/>
            <w:color w:val="0000ff"/>
          </w:rPr>
          <w:t xml:space="preserve">6</w:t>
        </w:r>
      </w:hyperlink>
      <w:r>
        <w:rPr>
          <w:sz w:val="24"/>
        </w:rPr>
        <w:t xml:space="preserve"> и </w:t>
      </w:r>
      <w:hyperlink w:history="0" w:anchor="P139" w:tooltip="7) для лиц без гражданства, временно проживающих в Российской Федерации:">
        <w:r>
          <w:rPr>
            <w:sz w:val="24"/>
            <w:color w:val="0000ff"/>
          </w:rPr>
          <w:t xml:space="preserve">7 пункта 16</w:t>
        </w:r>
      </w:hyperlink>
      <w:r>
        <w:rPr>
          <w:sz w:val="24"/>
        </w:rPr>
        <w:t xml:space="preserve"> Правил обязательного медицинского страхования.</w:t>
      </w:r>
    </w:p>
    <w:bookmarkStart w:id="1927" w:name="P1927"/>
    <w:bookmarkEnd w:id="1927"/>
    <w:p>
      <w:pPr>
        <w:pStyle w:val="0"/>
        <w:spacing w:before="240" w:lineRule="auto"/>
        <w:ind w:firstLine="540"/>
        <w:jc w:val="both"/>
      </w:pPr>
      <w:r>
        <w:rPr>
          <w:sz w:val="24"/>
        </w:rPr>
        <w:t xml:space="preserve">&lt;8&gt; Заполняется в случае составления настоящего заявления представителем застрахованного лица.</w:t>
      </w:r>
    </w:p>
    <w:bookmarkStart w:id="1928" w:name="P1928"/>
    <w:bookmarkEnd w:id="1928"/>
    <w:p>
      <w:pPr>
        <w:pStyle w:val="0"/>
        <w:spacing w:before="240" w:lineRule="auto"/>
        <w:ind w:firstLine="540"/>
        <w:jc w:val="both"/>
      </w:pPr>
      <w:r>
        <w:rPr>
          <w:sz w:val="24"/>
        </w:rPr>
        <w:t xml:space="preserve">&lt;9&gt; Указывается адрес места постоянной регистрации представителя застрахованного лица.</w:t>
      </w:r>
    </w:p>
    <w:bookmarkStart w:id="1929" w:name="P1929"/>
    <w:bookmarkEnd w:id="1929"/>
    <w:p>
      <w:pPr>
        <w:pStyle w:val="0"/>
        <w:spacing w:before="240" w:lineRule="auto"/>
        <w:ind w:firstLine="540"/>
        <w:jc w:val="both"/>
      </w:pPr>
      <w:r>
        <w:rPr>
          <w:sz w:val="24"/>
        </w:rPr>
        <w:t xml:space="preserve">&lt;10&gt; Отмечается знаком "V".</w:t>
      </w:r>
    </w:p>
    <w:bookmarkStart w:id="1930" w:name="P1930"/>
    <w:bookmarkEnd w:id="1930"/>
    <w:p>
      <w:pPr>
        <w:pStyle w:val="0"/>
        <w:spacing w:before="240" w:lineRule="auto"/>
        <w:ind w:firstLine="540"/>
        <w:jc w:val="both"/>
      </w:pPr>
      <w:r>
        <w:rPr>
          <w:sz w:val="24"/>
        </w:rPr>
        <w:t xml:space="preserve">&lt;11&gt; Указывается адрес места временной регистрации или фактического пребывания представителя застрахованного лица.</w:t>
      </w:r>
    </w:p>
    <w:bookmarkStart w:id="1931" w:name="P1931"/>
    <w:bookmarkEnd w:id="1931"/>
    <w:p>
      <w:pPr>
        <w:pStyle w:val="0"/>
        <w:spacing w:before="240" w:lineRule="auto"/>
        <w:ind w:firstLine="540"/>
        <w:jc w:val="both"/>
      </w:pPr>
      <w:r>
        <w:rPr>
          <w:sz w:val="24"/>
        </w:rPr>
        <w:t xml:space="preserve">&lt;12&gt; Нужное подчеркнуть.</w:t>
      </w:r>
    </w:p>
    <w:bookmarkStart w:id="1932" w:name="P1932"/>
    <w:bookmarkEnd w:id="1932"/>
    <w:p>
      <w:pPr>
        <w:pStyle w:val="0"/>
        <w:spacing w:before="240" w:lineRule="auto"/>
        <w:ind w:firstLine="540"/>
        <w:jc w:val="both"/>
      </w:pPr>
      <w:r>
        <w:rPr>
          <w:sz w:val="24"/>
        </w:rPr>
        <w:t xml:space="preserve">&lt;*&gt; Сведения подлежат заполнению после окончания переходного периода, определенного </w:t>
      </w:r>
      <w:hyperlink w:history="0" w:anchor="P249" w:tooltip="41. На основании постановления Правительства Российской Федерации от 7 сентября 2022 г. N 1578 &quot;О сроках одновременного использования единого федерального информационного регистра, содержащего сведения о населении Российской Федерации, и государственных информационных систем органов и организаций, указанных в статье 10 Федерального закона &quot;О едином федеральном информационном регистре, содержащем сведения о населении Российской Федерации&quot;, при организации межведомственного информационного взаимодействия в...">
        <w:r>
          <w:rPr>
            <w:sz w:val="24"/>
            <w:color w:val="0000ff"/>
          </w:rPr>
          <w:t xml:space="preserve">пунктом 41</w:t>
        </w:r>
      </w:hyperlink>
      <w:r>
        <w:rPr>
          <w:sz w:val="24"/>
        </w:rPr>
        <w:t xml:space="preserve"> Правил обязательного медицинского страхования.</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1"/>
        <w:jc w:val="right"/>
      </w:pPr>
      <w:r>
        <w:rPr>
          <w:sz w:val="24"/>
        </w:rPr>
        <w:t xml:space="preserve">Приложение N 2</w:t>
      </w:r>
    </w:p>
    <w:p>
      <w:pPr>
        <w:pStyle w:val="0"/>
        <w:jc w:val="right"/>
      </w:pPr>
      <w:r>
        <w:rPr>
          <w:sz w:val="24"/>
        </w:rPr>
        <w:t xml:space="preserve">к Правилам обязательного медицинского</w:t>
      </w:r>
    </w:p>
    <w:p>
      <w:pPr>
        <w:pStyle w:val="0"/>
        <w:jc w:val="right"/>
      </w:pPr>
      <w:r>
        <w:rPr>
          <w:sz w:val="24"/>
        </w:rPr>
        <w:t xml:space="preserve">страхования, утвержденным приказом</w:t>
      </w:r>
    </w:p>
    <w:p>
      <w:pPr>
        <w:pStyle w:val="0"/>
        <w:jc w:val="right"/>
      </w:pPr>
      <w:r>
        <w:rPr>
          <w:sz w:val="24"/>
        </w:rPr>
        <w:t xml:space="preserve">Министерства здравоохранения</w:t>
      </w:r>
    </w:p>
    <w:p>
      <w:pPr>
        <w:pStyle w:val="0"/>
        <w:jc w:val="right"/>
      </w:pPr>
      <w:r>
        <w:rPr>
          <w:sz w:val="24"/>
        </w:rPr>
        <w:t xml:space="preserve">Российской Федерации</w:t>
      </w:r>
    </w:p>
    <w:p>
      <w:pPr>
        <w:pStyle w:val="0"/>
        <w:jc w:val="right"/>
      </w:pPr>
      <w:r>
        <w:rPr>
          <w:sz w:val="24"/>
        </w:rPr>
        <w:t xml:space="preserve">от 21 августа 2025 г. N 496н</w:t>
      </w:r>
    </w:p>
    <w:p>
      <w:pPr>
        <w:pStyle w:val="0"/>
        <w:jc w:val="both"/>
      </w:pPr>
      <w:r>
        <w:rPr>
          <w:sz w:val="24"/>
        </w:rPr>
      </w:r>
    </w:p>
    <w:p>
      <w:pPr>
        <w:pStyle w:val="0"/>
        <w:jc w:val="right"/>
      </w:pPr>
      <w:r>
        <w:rPr>
          <w:sz w:val="24"/>
        </w:rPr>
        <w:t xml:space="preserve">Рекомендуемый образец</w:t>
      </w:r>
    </w:p>
    <w:p>
      <w:pPr>
        <w:pStyle w:val="0"/>
        <w:jc w:val="both"/>
      </w:pPr>
      <w:r>
        <w:rPr>
          <w:sz w:val="24"/>
        </w:rPr>
      </w:r>
    </w:p>
    <w:bookmarkStart w:id="1947" w:name="P1947"/>
    <w:bookmarkEnd w:id="1947"/>
    <w:p>
      <w:pPr>
        <w:pStyle w:val="0"/>
        <w:jc w:val="center"/>
      </w:pPr>
      <w:r>
        <w:rPr>
          <w:sz w:val="24"/>
        </w:rPr>
        <w:t xml:space="preserve">Реестр</w:t>
      </w:r>
    </w:p>
    <w:p>
      <w:pPr>
        <w:pStyle w:val="0"/>
        <w:jc w:val="center"/>
      </w:pPr>
      <w:r>
        <w:rPr>
          <w:sz w:val="24"/>
        </w:rPr>
        <w:t xml:space="preserve">страховых медицинских организаций, осуществляющих</w:t>
      </w:r>
    </w:p>
    <w:p>
      <w:pPr>
        <w:pStyle w:val="0"/>
        <w:jc w:val="center"/>
      </w:pPr>
      <w:r>
        <w:rPr>
          <w:sz w:val="24"/>
        </w:rPr>
        <w:t xml:space="preserve">деятельность в сфере обязательного медицинского страхования</w:t>
      </w:r>
    </w:p>
    <w:p>
      <w:pPr>
        <w:pStyle w:val="0"/>
        <w:jc w:val="center"/>
      </w:pPr>
      <w:r>
        <w:rPr>
          <w:sz w:val="24"/>
        </w:rPr>
        <w:t xml:space="preserve">на территории субъекта Российской Федерации</w:t>
      </w:r>
    </w:p>
    <w:p>
      <w:pPr>
        <w:pStyle w:val="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7257"/>
        <w:gridCol w:w="906"/>
        <w:gridCol w:w="906"/>
      </w:tblGrid>
      <w:tr>
        <w:tc>
          <w:tcPr>
            <w:tcW w:w="7257" w:type="dxa"/>
          </w:tcPr>
          <w:p>
            <w:pPr>
              <w:pStyle w:val="0"/>
            </w:pPr>
            <w:r>
              <w:rPr>
                <w:sz w:val="24"/>
              </w:rPr>
              <w:t xml:space="preserve">Код субъекта Российской Федерации по </w:t>
            </w:r>
            <w:hyperlink w:history="0" r:id="rId278" w:tooltip="&quot;ОК 019-95. Общероссийский классификатор объектов административно-территориального деления&quot; (утв. Постановлением Госстандарта России от 31.07.1995 N 413) (ред. от 27.02.2026) (коды 01 - 32 ОКАТО) {КонсультантПлюс}">
              <w:r>
                <w:rPr>
                  <w:sz w:val="24"/>
                  <w:color w:val="0000ff"/>
                </w:rPr>
                <w:t xml:space="preserve">ОКАТО</w:t>
              </w:r>
            </w:hyperlink>
            <w:r>
              <w:rPr>
                <w:sz w:val="24"/>
              </w:rPr>
              <w:t xml:space="preserve">, в котором расположена страховая медицинская организация, в соответствии с Уведомлением об идентификационных кодах по общероссийским классификаторам технико-экономической и социальной информации (ОК ТЭИ)</w:t>
            </w:r>
          </w:p>
        </w:tc>
        <w:tc>
          <w:tcPr>
            <w:tcW w:w="906" w:type="dxa"/>
            <w:vAlign w:val="center"/>
          </w:tcPr>
          <w:p>
            <w:pPr>
              <w:pStyle w:val="0"/>
              <w:jc w:val="center"/>
            </w:pPr>
            <w:r>
              <w:rPr>
                <w:sz w:val="24"/>
              </w:rPr>
              <w:t xml:space="preserve">1</w:t>
            </w:r>
          </w:p>
        </w:tc>
        <w:tc>
          <w:tcPr>
            <w:tcW w:w="906" w:type="dxa"/>
          </w:tcPr>
          <w:p>
            <w:pPr>
              <w:pStyle w:val="0"/>
            </w:pPr>
            <w:r>
              <w:rPr>
                <w:sz w:val="24"/>
              </w:rPr>
            </w:r>
          </w:p>
        </w:tc>
      </w:tr>
      <w:tr>
        <w:tc>
          <w:tcPr>
            <w:tcW w:w="7257" w:type="dxa"/>
          </w:tcPr>
          <w:p>
            <w:pPr>
              <w:pStyle w:val="0"/>
            </w:pPr>
            <w:r>
              <w:rPr>
                <w:sz w:val="24"/>
              </w:rPr>
              <w:t xml:space="preserve">Код страховой медицинской организации в кодировке единого реестра страховых медицинских организаций</w:t>
            </w:r>
          </w:p>
        </w:tc>
        <w:tc>
          <w:tcPr>
            <w:tcW w:w="906" w:type="dxa"/>
            <w:vAlign w:val="center"/>
          </w:tcPr>
          <w:p>
            <w:pPr>
              <w:pStyle w:val="0"/>
              <w:jc w:val="center"/>
            </w:pPr>
            <w:r>
              <w:rPr>
                <w:sz w:val="24"/>
              </w:rPr>
              <w:t xml:space="preserve">2</w:t>
            </w:r>
          </w:p>
        </w:tc>
        <w:tc>
          <w:tcPr>
            <w:tcW w:w="906" w:type="dxa"/>
          </w:tcPr>
          <w:p>
            <w:pPr>
              <w:pStyle w:val="0"/>
            </w:pPr>
            <w:r>
              <w:rPr>
                <w:sz w:val="24"/>
              </w:rPr>
            </w:r>
          </w:p>
        </w:tc>
      </w:tr>
      <w:tr>
        <w:tc>
          <w:tcPr>
            <w:tcW w:w="7257" w:type="dxa"/>
          </w:tcPr>
          <w:p>
            <w:pPr>
              <w:pStyle w:val="0"/>
            </w:pPr>
            <w:r>
              <w:rPr>
                <w:sz w:val="24"/>
              </w:rPr>
              <w:t xml:space="preserve">Полное и сокращенное (при наличии) наименования страховой медицинской организации (филиала/представительства) в соответствии с единым государственным реестром юридических лиц (ЕГРЮЛ)</w:t>
            </w:r>
          </w:p>
        </w:tc>
        <w:tc>
          <w:tcPr>
            <w:tcW w:w="906" w:type="dxa"/>
            <w:vAlign w:val="center"/>
          </w:tcPr>
          <w:p>
            <w:pPr>
              <w:pStyle w:val="0"/>
              <w:jc w:val="center"/>
            </w:pPr>
            <w:r>
              <w:rPr>
                <w:sz w:val="24"/>
              </w:rPr>
              <w:t xml:space="preserve">3</w:t>
            </w:r>
          </w:p>
        </w:tc>
        <w:tc>
          <w:tcPr>
            <w:tcW w:w="906" w:type="dxa"/>
          </w:tcPr>
          <w:p>
            <w:pPr>
              <w:pStyle w:val="0"/>
            </w:pPr>
            <w:r>
              <w:rPr>
                <w:sz w:val="24"/>
              </w:rPr>
            </w:r>
          </w:p>
        </w:tc>
      </w:tr>
      <w:tr>
        <w:tc>
          <w:tcPr>
            <w:tcW w:w="7257" w:type="dxa"/>
          </w:tcPr>
          <w:p>
            <w:pPr>
              <w:pStyle w:val="0"/>
            </w:pPr>
            <w:r>
              <w:rPr>
                <w:sz w:val="24"/>
              </w:rPr>
              <w:t xml:space="preserve">Головная организация (1), филиал (представительство) (2)</w:t>
            </w:r>
          </w:p>
        </w:tc>
        <w:tc>
          <w:tcPr>
            <w:tcW w:w="906" w:type="dxa"/>
            <w:vAlign w:val="center"/>
          </w:tcPr>
          <w:p>
            <w:pPr>
              <w:pStyle w:val="0"/>
              <w:jc w:val="center"/>
            </w:pPr>
            <w:r>
              <w:rPr>
                <w:sz w:val="24"/>
              </w:rPr>
              <w:t xml:space="preserve">4</w:t>
            </w:r>
          </w:p>
        </w:tc>
        <w:tc>
          <w:tcPr>
            <w:tcW w:w="906" w:type="dxa"/>
          </w:tcPr>
          <w:p>
            <w:pPr>
              <w:pStyle w:val="0"/>
            </w:pPr>
            <w:r>
              <w:rPr>
                <w:sz w:val="24"/>
              </w:rPr>
            </w:r>
          </w:p>
        </w:tc>
      </w:tr>
      <w:tr>
        <w:tc>
          <w:tcPr>
            <w:tcW w:w="7257" w:type="dxa"/>
          </w:tcPr>
          <w:p>
            <w:pPr>
              <w:pStyle w:val="0"/>
            </w:pPr>
            <w:r>
              <w:rPr>
                <w:sz w:val="24"/>
              </w:rPr>
              <w:t xml:space="preserve">Место нахождения и адрес страховой медицинской организации</w:t>
            </w:r>
          </w:p>
        </w:tc>
        <w:tc>
          <w:tcPr>
            <w:tcW w:w="906" w:type="dxa"/>
            <w:vAlign w:val="center"/>
          </w:tcPr>
          <w:p>
            <w:pPr>
              <w:pStyle w:val="0"/>
              <w:jc w:val="center"/>
            </w:pPr>
            <w:r>
              <w:rPr>
                <w:sz w:val="24"/>
              </w:rPr>
              <w:t xml:space="preserve">5</w:t>
            </w:r>
          </w:p>
        </w:tc>
        <w:tc>
          <w:tcPr>
            <w:tcW w:w="906" w:type="dxa"/>
          </w:tcPr>
          <w:p>
            <w:pPr>
              <w:pStyle w:val="0"/>
            </w:pPr>
            <w:r>
              <w:rPr>
                <w:sz w:val="24"/>
              </w:rPr>
            </w:r>
          </w:p>
        </w:tc>
      </w:tr>
      <w:tr>
        <w:tc>
          <w:tcPr>
            <w:tcW w:w="7257" w:type="dxa"/>
          </w:tcPr>
          <w:p>
            <w:pPr>
              <w:pStyle w:val="0"/>
            </w:pPr>
            <w:r>
              <w:rPr>
                <w:sz w:val="24"/>
              </w:rPr>
              <w:t xml:space="preserve">Фактический адрес страховой медицинской организации в соответствии с выпиской из единого государственного реестра юридических лиц (ЕГРЮЛ)</w:t>
            </w:r>
          </w:p>
        </w:tc>
        <w:tc>
          <w:tcPr>
            <w:tcW w:w="906" w:type="dxa"/>
            <w:vAlign w:val="center"/>
          </w:tcPr>
          <w:p>
            <w:pPr>
              <w:pStyle w:val="0"/>
              <w:jc w:val="center"/>
            </w:pPr>
            <w:r>
              <w:rPr>
                <w:sz w:val="24"/>
              </w:rPr>
              <w:t xml:space="preserve">6</w:t>
            </w:r>
          </w:p>
        </w:tc>
        <w:tc>
          <w:tcPr>
            <w:tcW w:w="906" w:type="dxa"/>
          </w:tcPr>
          <w:p>
            <w:pPr>
              <w:pStyle w:val="0"/>
            </w:pPr>
            <w:r>
              <w:rPr>
                <w:sz w:val="24"/>
              </w:rPr>
            </w:r>
          </w:p>
        </w:tc>
      </w:tr>
      <w:tr>
        <w:tc>
          <w:tcPr>
            <w:tcW w:w="7257" w:type="dxa"/>
          </w:tcPr>
          <w:p>
            <w:pPr>
              <w:pStyle w:val="0"/>
            </w:pPr>
            <w:r>
              <w:rPr>
                <w:sz w:val="24"/>
              </w:rPr>
              <w:t xml:space="preserve">Место нахождения и адрес филиала (представительства) страховой медицинской организации на территории субъекта Российской Федерации в соответствии с выпиской из единого государственного реестра юридических лиц (ЕГРЮЛ)</w:t>
            </w:r>
          </w:p>
        </w:tc>
        <w:tc>
          <w:tcPr>
            <w:tcW w:w="906" w:type="dxa"/>
            <w:vAlign w:val="center"/>
          </w:tcPr>
          <w:p>
            <w:pPr>
              <w:pStyle w:val="0"/>
              <w:jc w:val="center"/>
            </w:pPr>
            <w:r>
              <w:rPr>
                <w:sz w:val="24"/>
              </w:rPr>
              <w:t xml:space="preserve">7</w:t>
            </w:r>
          </w:p>
        </w:tc>
        <w:tc>
          <w:tcPr>
            <w:tcW w:w="906" w:type="dxa"/>
          </w:tcPr>
          <w:p>
            <w:pPr>
              <w:pStyle w:val="0"/>
            </w:pPr>
            <w:r>
              <w:rPr>
                <w:sz w:val="24"/>
              </w:rPr>
            </w:r>
          </w:p>
        </w:tc>
      </w:tr>
      <w:tr>
        <w:tc>
          <w:tcPr>
            <w:tcW w:w="7257" w:type="dxa"/>
          </w:tcPr>
          <w:p>
            <w:pPr>
              <w:pStyle w:val="0"/>
            </w:pPr>
            <w:r>
              <w:rPr>
                <w:sz w:val="24"/>
              </w:rPr>
              <w:t xml:space="preserve">Код причины постановки на учет (КПП), для филиалов (представительств) страховых медицинских организаций в соответствии со свидетельством о постановке на учет российской организации в налоговом органе по месту ее нахождения</w:t>
            </w:r>
          </w:p>
        </w:tc>
        <w:tc>
          <w:tcPr>
            <w:tcW w:w="906" w:type="dxa"/>
            <w:vAlign w:val="center"/>
          </w:tcPr>
          <w:p>
            <w:pPr>
              <w:pStyle w:val="0"/>
              <w:jc w:val="center"/>
            </w:pPr>
            <w:r>
              <w:rPr>
                <w:sz w:val="24"/>
              </w:rPr>
              <w:t xml:space="preserve">8</w:t>
            </w:r>
          </w:p>
        </w:tc>
        <w:tc>
          <w:tcPr>
            <w:tcW w:w="906" w:type="dxa"/>
          </w:tcPr>
          <w:p>
            <w:pPr>
              <w:pStyle w:val="0"/>
            </w:pPr>
            <w:r>
              <w:rPr>
                <w:sz w:val="24"/>
              </w:rPr>
            </w:r>
          </w:p>
        </w:tc>
      </w:tr>
      <w:tr>
        <w:tc>
          <w:tcPr>
            <w:tcW w:w="7257" w:type="dxa"/>
          </w:tcPr>
          <w:p>
            <w:pPr>
              <w:pStyle w:val="0"/>
            </w:pPr>
            <w:r>
              <w:rPr>
                <w:sz w:val="24"/>
              </w:rPr>
              <w:t xml:space="preserve">Идентификационный номер налогоплательщика (ИНН)</w:t>
            </w:r>
          </w:p>
        </w:tc>
        <w:tc>
          <w:tcPr>
            <w:tcW w:w="906" w:type="dxa"/>
            <w:vAlign w:val="center"/>
          </w:tcPr>
          <w:p>
            <w:pPr>
              <w:pStyle w:val="0"/>
              <w:jc w:val="center"/>
            </w:pPr>
            <w:r>
              <w:rPr>
                <w:sz w:val="24"/>
              </w:rPr>
              <w:t xml:space="preserve">9</w:t>
            </w:r>
          </w:p>
        </w:tc>
        <w:tc>
          <w:tcPr>
            <w:tcW w:w="906" w:type="dxa"/>
          </w:tcPr>
          <w:p>
            <w:pPr>
              <w:pStyle w:val="0"/>
            </w:pPr>
            <w:r>
              <w:rPr>
                <w:sz w:val="24"/>
              </w:rPr>
            </w:r>
          </w:p>
        </w:tc>
      </w:tr>
      <w:tr>
        <w:tc>
          <w:tcPr>
            <w:tcW w:w="7257" w:type="dxa"/>
          </w:tcPr>
          <w:p>
            <w:pPr>
              <w:pStyle w:val="0"/>
            </w:pPr>
            <w:r>
              <w:rPr>
                <w:sz w:val="24"/>
              </w:rPr>
              <w:t xml:space="preserve">Государственный регистрационный номер записи о создании юридического лица (ОГРН)</w:t>
            </w:r>
          </w:p>
        </w:tc>
        <w:tc>
          <w:tcPr>
            <w:tcW w:w="906" w:type="dxa"/>
            <w:vAlign w:val="center"/>
          </w:tcPr>
          <w:p>
            <w:pPr>
              <w:pStyle w:val="0"/>
              <w:jc w:val="center"/>
            </w:pPr>
            <w:r>
              <w:rPr>
                <w:sz w:val="24"/>
              </w:rPr>
              <w:t xml:space="preserve">10</w:t>
            </w:r>
          </w:p>
        </w:tc>
        <w:tc>
          <w:tcPr>
            <w:tcW w:w="906" w:type="dxa"/>
          </w:tcPr>
          <w:p>
            <w:pPr>
              <w:pStyle w:val="0"/>
            </w:pPr>
            <w:r>
              <w:rPr>
                <w:sz w:val="24"/>
              </w:rPr>
            </w:r>
          </w:p>
        </w:tc>
      </w:tr>
      <w:tr>
        <w:tc>
          <w:tcPr>
            <w:tcW w:w="7257" w:type="dxa"/>
          </w:tcPr>
          <w:p>
            <w:pPr>
              <w:pStyle w:val="0"/>
            </w:pPr>
            <w:r>
              <w:rPr>
                <w:sz w:val="24"/>
              </w:rPr>
              <w:t xml:space="preserve">Организационно-правовая форма и код организационно-правовой формы страховой медицинской организации </w:t>
            </w:r>
            <w:hyperlink w:history="0" r:id="rId279" w:tooltip="&quot;ОК 028-2012. Общероссийский классификатор организационно-правовых форм&quot; (утв. Приказом Росстандарта от 16.10.2012 N 505-ст) (ред. от 30.07.2025) (вместе с &quot;Пояснениями к позициям ОКОПФ&quot;) {КонсультантПлюс}">
              <w:r>
                <w:rPr>
                  <w:sz w:val="24"/>
                  <w:color w:val="0000ff"/>
                </w:rPr>
                <w:t xml:space="preserve">(ОКОПФ)</w:t>
              </w:r>
            </w:hyperlink>
            <w:r>
              <w:rPr>
                <w:sz w:val="24"/>
              </w:rPr>
              <w:t xml:space="preserve"> в соответствии с Уведомлением об идентификационных кодах по ОК ТЭИ</w:t>
            </w:r>
          </w:p>
        </w:tc>
        <w:tc>
          <w:tcPr>
            <w:tcW w:w="906" w:type="dxa"/>
            <w:vAlign w:val="center"/>
          </w:tcPr>
          <w:p>
            <w:pPr>
              <w:pStyle w:val="0"/>
              <w:jc w:val="center"/>
            </w:pPr>
            <w:r>
              <w:rPr>
                <w:sz w:val="24"/>
              </w:rPr>
              <w:t xml:space="preserve">11</w:t>
            </w:r>
          </w:p>
        </w:tc>
        <w:tc>
          <w:tcPr>
            <w:tcW w:w="906" w:type="dxa"/>
          </w:tcPr>
          <w:p>
            <w:pPr>
              <w:pStyle w:val="0"/>
            </w:pPr>
            <w:r>
              <w:rPr>
                <w:sz w:val="24"/>
              </w:rPr>
            </w:r>
          </w:p>
        </w:tc>
      </w:tr>
      <w:tr>
        <w:tc>
          <w:tcPr>
            <w:tcW w:w="7257" w:type="dxa"/>
          </w:tcPr>
          <w:p>
            <w:pPr>
              <w:pStyle w:val="0"/>
            </w:pPr>
            <w:r>
              <w:rPr>
                <w:sz w:val="24"/>
              </w:rPr>
              <w:t xml:space="preserve">Фамилия, имя, отчество (при наличии), телефон и факс руководителя, адрес электронной почты</w:t>
            </w:r>
          </w:p>
        </w:tc>
        <w:tc>
          <w:tcPr>
            <w:tcW w:w="906" w:type="dxa"/>
            <w:vAlign w:val="center"/>
          </w:tcPr>
          <w:p>
            <w:pPr>
              <w:pStyle w:val="0"/>
              <w:jc w:val="center"/>
            </w:pPr>
            <w:r>
              <w:rPr>
                <w:sz w:val="24"/>
              </w:rPr>
              <w:t xml:space="preserve">12</w:t>
            </w:r>
          </w:p>
        </w:tc>
        <w:tc>
          <w:tcPr>
            <w:tcW w:w="906" w:type="dxa"/>
          </w:tcPr>
          <w:p>
            <w:pPr>
              <w:pStyle w:val="0"/>
            </w:pPr>
            <w:r>
              <w:rPr>
                <w:sz w:val="24"/>
              </w:rPr>
            </w:r>
          </w:p>
        </w:tc>
      </w:tr>
      <w:tr>
        <w:tc>
          <w:tcPr>
            <w:tcW w:w="7257" w:type="dxa"/>
          </w:tcPr>
          <w:p>
            <w:pPr>
              <w:pStyle w:val="0"/>
            </w:pPr>
            <w:r>
              <w:rPr>
                <w:sz w:val="24"/>
              </w:rPr>
              <w:t xml:space="preserve">Фамилия, имя, отчество (при наличии), телефон и факс, адрес электронной почты руководителя филиала (представительства) страховой медицинской организации на территории субъекта Российской Федерации</w:t>
            </w:r>
          </w:p>
        </w:tc>
        <w:tc>
          <w:tcPr>
            <w:tcW w:w="906" w:type="dxa"/>
            <w:vAlign w:val="center"/>
          </w:tcPr>
          <w:p>
            <w:pPr>
              <w:pStyle w:val="0"/>
              <w:jc w:val="center"/>
            </w:pPr>
            <w:r>
              <w:rPr>
                <w:sz w:val="24"/>
              </w:rPr>
              <w:t xml:space="preserve">13</w:t>
            </w:r>
          </w:p>
        </w:tc>
        <w:tc>
          <w:tcPr>
            <w:tcW w:w="906" w:type="dxa"/>
          </w:tcPr>
          <w:p>
            <w:pPr>
              <w:pStyle w:val="0"/>
            </w:pPr>
            <w:r>
              <w:rPr>
                <w:sz w:val="24"/>
              </w:rPr>
            </w:r>
          </w:p>
        </w:tc>
      </w:tr>
      <w:tr>
        <w:tc>
          <w:tcPr>
            <w:tcW w:w="7257" w:type="dxa"/>
          </w:tcPr>
          <w:p>
            <w:pPr>
              <w:pStyle w:val="0"/>
            </w:pPr>
            <w:r>
              <w:rPr>
                <w:sz w:val="24"/>
              </w:rPr>
              <w:t xml:space="preserve">Сведения о лицензии на осуществление страхования по виду деятельности - обязательное медицинское страхование (номер, дата выдачи и окончания срока действия, причины прекращения действия лицензии)</w:t>
            </w:r>
          </w:p>
        </w:tc>
        <w:tc>
          <w:tcPr>
            <w:tcW w:w="906" w:type="dxa"/>
            <w:vAlign w:val="center"/>
          </w:tcPr>
          <w:p>
            <w:pPr>
              <w:pStyle w:val="0"/>
              <w:jc w:val="center"/>
            </w:pPr>
            <w:r>
              <w:rPr>
                <w:sz w:val="24"/>
              </w:rPr>
              <w:t xml:space="preserve">14</w:t>
            </w:r>
          </w:p>
        </w:tc>
        <w:tc>
          <w:tcPr>
            <w:tcW w:w="906" w:type="dxa"/>
          </w:tcPr>
          <w:p>
            <w:pPr>
              <w:pStyle w:val="0"/>
            </w:pPr>
            <w:r>
              <w:rPr>
                <w:sz w:val="24"/>
              </w:rPr>
            </w:r>
          </w:p>
        </w:tc>
      </w:tr>
      <w:tr>
        <w:tc>
          <w:tcPr>
            <w:tcW w:w="7257" w:type="dxa"/>
          </w:tcPr>
          <w:p>
            <w:pPr>
              <w:pStyle w:val="0"/>
            </w:pPr>
            <w:r>
              <w:rPr>
                <w:sz w:val="24"/>
              </w:rPr>
              <w:t xml:space="preserve">Дата включения страховой медицинской организации в реестр страховых медицинских организаций</w:t>
            </w:r>
          </w:p>
        </w:tc>
        <w:tc>
          <w:tcPr>
            <w:tcW w:w="906" w:type="dxa"/>
            <w:vAlign w:val="center"/>
          </w:tcPr>
          <w:p>
            <w:pPr>
              <w:pStyle w:val="0"/>
              <w:jc w:val="center"/>
            </w:pPr>
            <w:r>
              <w:rPr>
                <w:sz w:val="24"/>
              </w:rPr>
              <w:t xml:space="preserve">15</w:t>
            </w:r>
          </w:p>
        </w:tc>
        <w:tc>
          <w:tcPr>
            <w:tcW w:w="906" w:type="dxa"/>
          </w:tcPr>
          <w:p>
            <w:pPr>
              <w:pStyle w:val="0"/>
            </w:pPr>
            <w:r>
              <w:rPr>
                <w:sz w:val="24"/>
              </w:rPr>
            </w:r>
          </w:p>
        </w:tc>
      </w:tr>
      <w:tr>
        <w:tc>
          <w:tcPr>
            <w:tcW w:w="7257" w:type="dxa"/>
          </w:tcPr>
          <w:p>
            <w:pPr>
              <w:pStyle w:val="0"/>
            </w:pPr>
            <w:r>
              <w:rPr>
                <w:sz w:val="24"/>
              </w:rPr>
              <w:t xml:space="preserve">Дата исключения страховой медицинской организации из реестра страховых медицинских организаций</w:t>
            </w:r>
          </w:p>
        </w:tc>
        <w:tc>
          <w:tcPr>
            <w:tcW w:w="906" w:type="dxa"/>
            <w:vAlign w:val="center"/>
          </w:tcPr>
          <w:p>
            <w:pPr>
              <w:pStyle w:val="0"/>
              <w:jc w:val="center"/>
            </w:pPr>
            <w:r>
              <w:rPr>
                <w:sz w:val="24"/>
              </w:rPr>
              <w:t xml:space="preserve">16</w:t>
            </w:r>
          </w:p>
        </w:tc>
        <w:tc>
          <w:tcPr>
            <w:tcW w:w="906" w:type="dxa"/>
          </w:tcPr>
          <w:p>
            <w:pPr>
              <w:pStyle w:val="0"/>
            </w:pPr>
            <w:r>
              <w:rPr>
                <w:sz w:val="24"/>
              </w:rPr>
            </w:r>
          </w:p>
        </w:tc>
      </w:tr>
      <w:tr>
        <w:tc>
          <w:tcPr>
            <w:tcW w:w="7257" w:type="dxa"/>
          </w:tcPr>
          <w:p>
            <w:pPr>
              <w:pStyle w:val="0"/>
            </w:pPr>
            <w:r>
              <w:rPr>
                <w:sz w:val="24"/>
              </w:rPr>
              <w:t xml:space="preserve">Причина исключения страховой медицинской организации из реестра страховых медицинских организаций</w:t>
            </w:r>
          </w:p>
        </w:tc>
        <w:tc>
          <w:tcPr>
            <w:tcW w:w="906" w:type="dxa"/>
            <w:vAlign w:val="center"/>
          </w:tcPr>
          <w:p>
            <w:pPr>
              <w:pStyle w:val="0"/>
              <w:jc w:val="center"/>
            </w:pPr>
            <w:r>
              <w:rPr>
                <w:sz w:val="24"/>
              </w:rPr>
              <w:t xml:space="preserve">17</w:t>
            </w:r>
          </w:p>
        </w:tc>
        <w:tc>
          <w:tcPr>
            <w:tcW w:w="906" w:type="dxa"/>
          </w:tcPr>
          <w:p>
            <w:pPr>
              <w:pStyle w:val="0"/>
            </w:pPr>
            <w:r>
              <w:rPr>
                <w:sz w:val="24"/>
              </w:rPr>
            </w:r>
          </w:p>
        </w:tc>
      </w:tr>
      <w:tr>
        <w:tc>
          <w:tcPr>
            <w:tcW w:w="7257" w:type="dxa"/>
          </w:tcPr>
          <w:p>
            <w:pPr>
              <w:pStyle w:val="0"/>
            </w:pPr>
            <w:r>
              <w:rPr>
                <w:sz w:val="24"/>
              </w:rPr>
              <w:t xml:space="preserve">Численность застрахованных лиц в субъекте Российской Федерации на дату подачи уведомления о включении в реестр страховых медицинских организаций, осуществляющих деятельность в сфере обязательного медицинского страхования</w:t>
            </w:r>
          </w:p>
        </w:tc>
        <w:tc>
          <w:tcPr>
            <w:tcW w:w="906" w:type="dxa"/>
            <w:vAlign w:val="center"/>
          </w:tcPr>
          <w:p>
            <w:pPr>
              <w:pStyle w:val="0"/>
              <w:jc w:val="center"/>
            </w:pPr>
            <w:r>
              <w:rPr>
                <w:sz w:val="24"/>
              </w:rPr>
              <w:t xml:space="preserve">18</w:t>
            </w:r>
          </w:p>
        </w:tc>
        <w:tc>
          <w:tcPr>
            <w:tcW w:w="906" w:type="dxa"/>
          </w:tcPr>
          <w:p>
            <w:pPr>
              <w:pStyle w:val="0"/>
            </w:pPr>
            <w:r>
              <w:rPr>
                <w:sz w:val="24"/>
              </w:rPr>
            </w:r>
          </w:p>
        </w:tc>
      </w:tr>
      <w:tr>
        <w:tc>
          <w:tcPr>
            <w:tcW w:w="7257" w:type="dxa"/>
          </w:tcPr>
          <w:p>
            <w:pPr>
              <w:pStyle w:val="0"/>
            </w:pPr>
            <w:r>
              <w:rPr>
                <w:sz w:val="24"/>
              </w:rPr>
              <w:t xml:space="preserve">Количество уполномоченных лиц страховой медицинской организации, фактически осуществляющих деятельность по защите прав застрахованных лиц на дату подачи уведомления о включении в реестр страховых медицинских организаций, осуществляющих деятельность в сфере обязательного медицинского страхования</w:t>
            </w:r>
          </w:p>
        </w:tc>
        <w:tc>
          <w:tcPr>
            <w:tcW w:w="906" w:type="dxa"/>
            <w:vAlign w:val="center"/>
          </w:tcPr>
          <w:p>
            <w:pPr>
              <w:pStyle w:val="0"/>
              <w:jc w:val="center"/>
            </w:pPr>
            <w:r>
              <w:rPr>
                <w:sz w:val="24"/>
              </w:rPr>
              <w:t xml:space="preserve">19</w:t>
            </w:r>
          </w:p>
        </w:tc>
        <w:tc>
          <w:tcPr>
            <w:tcW w:w="906" w:type="dxa"/>
          </w:tcPr>
          <w:p>
            <w:pPr>
              <w:pStyle w:val="0"/>
            </w:pPr>
            <w:r>
              <w:rPr>
                <w:sz w:val="24"/>
              </w:rPr>
            </w:r>
          </w:p>
        </w:tc>
      </w:tr>
      <w:tr>
        <w:tc>
          <w:tcPr>
            <w:tcW w:w="7257" w:type="dxa"/>
          </w:tcPr>
          <w:p>
            <w:pPr>
              <w:pStyle w:val="0"/>
            </w:pPr>
            <w:r>
              <w:rPr>
                <w:sz w:val="24"/>
              </w:rPr>
              <w:t xml:space="preserve">Сведения о действующем заключенном договоре о финансовом обеспечении обязательного медицинского страхования (номер, дата заключения, срок действия)</w:t>
            </w:r>
          </w:p>
        </w:tc>
        <w:tc>
          <w:tcPr>
            <w:tcW w:w="906" w:type="dxa"/>
            <w:vAlign w:val="center"/>
          </w:tcPr>
          <w:p>
            <w:pPr>
              <w:pStyle w:val="0"/>
              <w:jc w:val="center"/>
            </w:pPr>
            <w:r>
              <w:rPr>
                <w:sz w:val="24"/>
              </w:rPr>
              <w:t xml:space="preserve">20</w:t>
            </w:r>
          </w:p>
        </w:tc>
        <w:tc>
          <w:tcPr>
            <w:tcW w:w="906" w:type="dxa"/>
          </w:tcPr>
          <w:p>
            <w:pPr>
              <w:pStyle w:val="0"/>
            </w:pPr>
            <w:r>
              <w:rPr>
                <w:sz w:val="24"/>
              </w:rPr>
            </w:r>
          </w:p>
        </w:tc>
      </w:tr>
      <w:tr>
        <w:tc>
          <w:tcPr>
            <w:tcW w:w="7257" w:type="dxa"/>
          </w:tcPr>
          <w:p>
            <w:pPr>
              <w:pStyle w:val="0"/>
            </w:pPr>
            <w:r>
              <w:rPr>
                <w:sz w:val="24"/>
              </w:rPr>
              <w:t xml:space="preserve">Сведения о прекращении или досрочном расторжении договора о финансовом обеспечении обязательного медицинского страхования (дата и причина прекращения или досрочного расторжения)</w:t>
            </w:r>
          </w:p>
        </w:tc>
        <w:tc>
          <w:tcPr>
            <w:tcW w:w="906" w:type="dxa"/>
            <w:vAlign w:val="center"/>
          </w:tcPr>
          <w:p>
            <w:pPr>
              <w:pStyle w:val="0"/>
              <w:jc w:val="center"/>
            </w:pPr>
            <w:r>
              <w:rPr>
                <w:sz w:val="24"/>
              </w:rPr>
              <w:t xml:space="preserve">21</w:t>
            </w:r>
          </w:p>
        </w:tc>
        <w:tc>
          <w:tcPr>
            <w:tcW w:w="906" w:type="dxa"/>
          </w:tcPr>
          <w:p>
            <w:pPr>
              <w:pStyle w:val="0"/>
            </w:pPr>
            <w:r>
              <w:rPr>
                <w:sz w:val="24"/>
              </w:rPr>
            </w:r>
          </w:p>
        </w:tc>
      </w:tr>
    </w:tbl>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1"/>
        <w:jc w:val="right"/>
      </w:pPr>
      <w:r>
        <w:rPr>
          <w:sz w:val="24"/>
        </w:rPr>
        <w:t xml:space="preserve">Приложение N 3</w:t>
      </w:r>
    </w:p>
    <w:p>
      <w:pPr>
        <w:pStyle w:val="0"/>
        <w:jc w:val="right"/>
      </w:pPr>
      <w:r>
        <w:rPr>
          <w:sz w:val="24"/>
        </w:rPr>
        <w:t xml:space="preserve">к Правилам обязательного медицинского</w:t>
      </w:r>
    </w:p>
    <w:p>
      <w:pPr>
        <w:pStyle w:val="0"/>
        <w:jc w:val="right"/>
      </w:pPr>
      <w:r>
        <w:rPr>
          <w:sz w:val="24"/>
        </w:rPr>
        <w:t xml:space="preserve">страхования, утвержденным приказом</w:t>
      </w:r>
    </w:p>
    <w:p>
      <w:pPr>
        <w:pStyle w:val="0"/>
        <w:jc w:val="right"/>
      </w:pPr>
      <w:r>
        <w:rPr>
          <w:sz w:val="24"/>
        </w:rPr>
        <w:t xml:space="preserve">Министерства здравоохранения</w:t>
      </w:r>
    </w:p>
    <w:p>
      <w:pPr>
        <w:pStyle w:val="0"/>
        <w:jc w:val="right"/>
      </w:pPr>
      <w:r>
        <w:rPr>
          <w:sz w:val="24"/>
        </w:rPr>
        <w:t xml:space="preserve">Российской Федерации</w:t>
      </w:r>
    </w:p>
    <w:p>
      <w:pPr>
        <w:pStyle w:val="0"/>
        <w:jc w:val="right"/>
      </w:pPr>
      <w:r>
        <w:rPr>
          <w:sz w:val="24"/>
        </w:rPr>
        <w:t xml:space="preserve">от 21 августа 2025 г. N 496н</w:t>
      </w:r>
    </w:p>
    <w:p>
      <w:pPr>
        <w:pStyle w:val="0"/>
        <w:jc w:val="both"/>
      </w:pPr>
      <w:r>
        <w:rPr>
          <w:sz w:val="24"/>
        </w:rPr>
      </w:r>
    </w:p>
    <w:p>
      <w:pPr>
        <w:pStyle w:val="0"/>
        <w:jc w:val="right"/>
      </w:pPr>
      <w:r>
        <w:rPr>
          <w:sz w:val="24"/>
        </w:rPr>
        <w:t xml:space="preserve">Рекомендуемый образец</w:t>
      </w:r>
    </w:p>
    <w:p>
      <w:pPr>
        <w:pStyle w:val="0"/>
        <w:jc w:val="both"/>
      </w:pPr>
      <w:r>
        <w:rPr>
          <w:sz w:val="24"/>
        </w:rPr>
      </w:r>
    </w:p>
    <w:bookmarkStart w:id="2029" w:name="P2029"/>
    <w:bookmarkEnd w:id="2029"/>
    <w:p>
      <w:pPr>
        <w:pStyle w:val="0"/>
        <w:jc w:val="center"/>
      </w:pPr>
      <w:r>
        <w:rPr>
          <w:sz w:val="24"/>
        </w:rPr>
        <w:t xml:space="preserve">Уведомление</w:t>
      </w:r>
    </w:p>
    <w:p>
      <w:pPr>
        <w:pStyle w:val="0"/>
        <w:jc w:val="center"/>
      </w:pPr>
      <w:r>
        <w:rPr>
          <w:sz w:val="24"/>
        </w:rPr>
        <w:t xml:space="preserve">о включении в реестр страховых медицинских организаций,</w:t>
      </w:r>
    </w:p>
    <w:p>
      <w:pPr>
        <w:pStyle w:val="0"/>
        <w:jc w:val="center"/>
      </w:pPr>
      <w:r>
        <w:rPr>
          <w:sz w:val="24"/>
        </w:rPr>
        <w:t xml:space="preserve">осуществляющих деятельность в сфере обязательного</w:t>
      </w:r>
    </w:p>
    <w:p>
      <w:pPr>
        <w:pStyle w:val="0"/>
        <w:jc w:val="center"/>
      </w:pPr>
      <w:r>
        <w:rPr>
          <w:sz w:val="24"/>
        </w:rPr>
        <w:t xml:space="preserve">медицинского страхования на территории субъекта</w:t>
      </w:r>
    </w:p>
    <w:p>
      <w:pPr>
        <w:pStyle w:val="0"/>
        <w:jc w:val="center"/>
      </w:pPr>
      <w:r>
        <w:rPr>
          <w:sz w:val="24"/>
        </w:rPr>
        <w:t xml:space="preserve">Российской Федерации</w:t>
      </w:r>
    </w:p>
    <w:p>
      <w:pPr>
        <w:pStyle w:val="0"/>
        <w:jc w:val="both"/>
      </w:pPr>
      <w:r>
        <w:rPr>
          <w:sz w:val="24"/>
        </w:rPr>
      </w:r>
    </w:p>
    <w:p>
      <w:pPr>
        <w:pStyle w:val="0"/>
        <w:jc w:val="center"/>
      </w:pPr>
      <w:r>
        <w:rPr>
          <w:sz w:val="24"/>
        </w:rPr>
        <w:t xml:space="preserve">__________________________________________________________</w:t>
      </w:r>
    </w:p>
    <w:p>
      <w:pPr>
        <w:pStyle w:val="0"/>
        <w:jc w:val="center"/>
      </w:pPr>
      <w:r>
        <w:rPr>
          <w:sz w:val="24"/>
        </w:rPr>
        <w:t xml:space="preserve">(наименование страховой медицинской организации)</w:t>
      </w:r>
    </w:p>
    <w:p>
      <w:pPr>
        <w:pStyle w:val="0"/>
        <w:jc w:val="center"/>
      </w:pPr>
      <w:r>
        <w:rPr>
          <w:sz w:val="24"/>
        </w:rPr>
        <w:t xml:space="preserve">__________________________________________________________</w:t>
      </w:r>
    </w:p>
    <w:p>
      <w:pPr>
        <w:pStyle w:val="0"/>
        <w:jc w:val="center"/>
      </w:pPr>
      <w:r>
        <w:rPr>
          <w:sz w:val="24"/>
        </w:rPr>
        <w:t xml:space="preserve">(наименование субъекта Российской Федерации, на территории</w:t>
      </w:r>
    </w:p>
    <w:p>
      <w:pPr>
        <w:pStyle w:val="0"/>
        <w:jc w:val="center"/>
      </w:pPr>
      <w:r>
        <w:rPr>
          <w:sz w:val="24"/>
        </w:rPr>
        <w:t xml:space="preserve">которого планируется осуществлять деятельность в сфере</w:t>
      </w:r>
    </w:p>
    <w:p>
      <w:pPr>
        <w:pStyle w:val="0"/>
        <w:jc w:val="center"/>
      </w:pPr>
      <w:r>
        <w:rPr>
          <w:sz w:val="24"/>
        </w:rPr>
        <w:t xml:space="preserve">обязательного медицинского страхования)</w:t>
      </w:r>
    </w:p>
    <w:p>
      <w:pPr>
        <w:pStyle w:val="0"/>
        <w:jc w:val="center"/>
      </w:pPr>
      <w:r>
        <w:rPr>
          <w:sz w:val="24"/>
        </w:rPr>
        <w:t xml:space="preserve">на __________________________________________________ год,</w:t>
      </w:r>
    </w:p>
    <w:p>
      <w:pPr>
        <w:pStyle w:val="0"/>
        <w:jc w:val="center"/>
      </w:pPr>
      <w:r>
        <w:rPr>
          <w:sz w:val="24"/>
        </w:rPr>
        <w:t xml:space="preserve">(указывается год, в котором страховая медицинская</w:t>
      </w:r>
    </w:p>
    <w:p>
      <w:pPr>
        <w:pStyle w:val="0"/>
        <w:jc w:val="center"/>
      </w:pPr>
      <w:r>
        <w:rPr>
          <w:sz w:val="24"/>
        </w:rPr>
        <w:t xml:space="preserve">организация планирует осуществлять деятельность</w:t>
      </w:r>
    </w:p>
    <w:p>
      <w:pPr>
        <w:pStyle w:val="0"/>
        <w:jc w:val="center"/>
      </w:pPr>
      <w:r>
        <w:rPr>
          <w:sz w:val="24"/>
        </w:rPr>
        <w:t xml:space="preserve">в сфере обязательного медицинского страхования)</w:t>
      </w:r>
    </w:p>
    <w:p>
      <w:pPr>
        <w:pStyle w:val="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566"/>
        <w:gridCol w:w="6859"/>
        <w:gridCol w:w="1644"/>
      </w:tblGrid>
      <w:tr>
        <w:tc>
          <w:tcPr>
            <w:tcW w:w="566" w:type="dxa"/>
          </w:tcPr>
          <w:p>
            <w:pPr>
              <w:pStyle w:val="0"/>
              <w:jc w:val="center"/>
            </w:pPr>
            <w:r>
              <w:rPr>
                <w:sz w:val="24"/>
              </w:rPr>
              <w:t xml:space="preserve">N</w:t>
            </w:r>
          </w:p>
        </w:tc>
        <w:tc>
          <w:tcPr>
            <w:tcW w:w="6859" w:type="dxa"/>
          </w:tcPr>
          <w:p>
            <w:pPr>
              <w:pStyle w:val="0"/>
              <w:jc w:val="center"/>
            </w:pPr>
            <w:r>
              <w:rPr>
                <w:sz w:val="24"/>
              </w:rPr>
              <w:t xml:space="preserve">Наименование сведений</w:t>
            </w:r>
          </w:p>
        </w:tc>
        <w:tc>
          <w:tcPr>
            <w:tcW w:w="1644" w:type="dxa"/>
          </w:tcPr>
          <w:p>
            <w:pPr>
              <w:pStyle w:val="0"/>
              <w:jc w:val="center"/>
            </w:pPr>
            <w:r>
              <w:rPr>
                <w:sz w:val="24"/>
              </w:rPr>
              <w:t xml:space="preserve">Сведения о страховой медицинской организации</w:t>
            </w:r>
          </w:p>
        </w:tc>
      </w:tr>
      <w:tr>
        <w:tc>
          <w:tcPr>
            <w:tcW w:w="566" w:type="dxa"/>
          </w:tcPr>
          <w:p>
            <w:pPr>
              <w:pStyle w:val="0"/>
            </w:pPr>
            <w:r>
              <w:rPr>
                <w:sz w:val="24"/>
              </w:rPr>
              <w:t xml:space="preserve">1</w:t>
            </w:r>
          </w:p>
        </w:tc>
        <w:tc>
          <w:tcPr>
            <w:tcW w:w="6859" w:type="dxa"/>
          </w:tcPr>
          <w:p>
            <w:pPr>
              <w:pStyle w:val="0"/>
              <w:jc w:val="both"/>
            </w:pPr>
            <w:r>
              <w:rPr>
                <w:sz w:val="24"/>
              </w:rPr>
              <w:t xml:space="preserve">Полное наименование страховой медицинской организации в соответствии с единым государственным реестром юридических лиц (ЕГРЮЛ)</w:t>
            </w:r>
          </w:p>
        </w:tc>
        <w:tc>
          <w:tcPr>
            <w:tcW w:w="1644" w:type="dxa"/>
          </w:tcPr>
          <w:p>
            <w:pPr>
              <w:pStyle w:val="0"/>
            </w:pPr>
            <w:r>
              <w:rPr>
                <w:sz w:val="24"/>
              </w:rPr>
            </w:r>
          </w:p>
        </w:tc>
      </w:tr>
      <w:tr>
        <w:tc>
          <w:tcPr>
            <w:tcW w:w="566" w:type="dxa"/>
          </w:tcPr>
          <w:p>
            <w:pPr>
              <w:pStyle w:val="0"/>
            </w:pPr>
            <w:r>
              <w:rPr>
                <w:sz w:val="24"/>
              </w:rPr>
              <w:t xml:space="preserve">2</w:t>
            </w:r>
          </w:p>
        </w:tc>
        <w:tc>
          <w:tcPr>
            <w:tcW w:w="6859" w:type="dxa"/>
          </w:tcPr>
          <w:p>
            <w:pPr>
              <w:pStyle w:val="0"/>
              <w:jc w:val="both"/>
            </w:pPr>
            <w:r>
              <w:rPr>
                <w:sz w:val="24"/>
              </w:rPr>
              <w:t xml:space="preserve">Сокращенное наименование страховой медицинской организации в соответствии с единым государственным реестром юридических лиц (ЕГРЮЛ) (при наличии)</w:t>
            </w:r>
          </w:p>
        </w:tc>
        <w:tc>
          <w:tcPr>
            <w:tcW w:w="1644" w:type="dxa"/>
          </w:tcPr>
          <w:p>
            <w:pPr>
              <w:pStyle w:val="0"/>
            </w:pPr>
            <w:r>
              <w:rPr>
                <w:sz w:val="24"/>
              </w:rPr>
            </w:r>
          </w:p>
        </w:tc>
      </w:tr>
      <w:tr>
        <w:tc>
          <w:tcPr>
            <w:tcW w:w="566" w:type="dxa"/>
          </w:tcPr>
          <w:p>
            <w:pPr>
              <w:pStyle w:val="0"/>
            </w:pPr>
            <w:r>
              <w:rPr>
                <w:sz w:val="24"/>
              </w:rPr>
              <w:t xml:space="preserve">3</w:t>
            </w:r>
          </w:p>
        </w:tc>
        <w:tc>
          <w:tcPr>
            <w:tcW w:w="6859" w:type="dxa"/>
          </w:tcPr>
          <w:p>
            <w:pPr>
              <w:pStyle w:val="0"/>
              <w:jc w:val="both"/>
            </w:pPr>
            <w:r>
              <w:rPr>
                <w:sz w:val="24"/>
              </w:rPr>
              <w:t xml:space="preserve">Наименование филиала (представительства) страховой медицинской организации в соответствии с единым государственным реестром юридических лиц (ЕГРЮЛ)</w:t>
            </w:r>
          </w:p>
        </w:tc>
        <w:tc>
          <w:tcPr>
            <w:tcW w:w="1644" w:type="dxa"/>
          </w:tcPr>
          <w:p>
            <w:pPr>
              <w:pStyle w:val="0"/>
            </w:pPr>
            <w:r>
              <w:rPr>
                <w:sz w:val="24"/>
              </w:rPr>
            </w:r>
          </w:p>
        </w:tc>
      </w:tr>
      <w:tr>
        <w:tc>
          <w:tcPr>
            <w:tcW w:w="566" w:type="dxa"/>
          </w:tcPr>
          <w:p>
            <w:pPr>
              <w:pStyle w:val="0"/>
            </w:pPr>
            <w:r>
              <w:rPr>
                <w:sz w:val="24"/>
              </w:rPr>
              <w:t xml:space="preserve">4</w:t>
            </w:r>
          </w:p>
        </w:tc>
        <w:tc>
          <w:tcPr>
            <w:tcW w:w="6859" w:type="dxa"/>
          </w:tcPr>
          <w:p>
            <w:pPr>
              <w:pStyle w:val="0"/>
              <w:jc w:val="both"/>
            </w:pPr>
            <w:r>
              <w:rPr>
                <w:sz w:val="24"/>
              </w:rPr>
              <w:t xml:space="preserve">Юридический адрес страховой медицинской организации в соответствии с выпиской из единого государственного реестра юридических лиц (ЕГРЮЛ)</w:t>
            </w:r>
          </w:p>
        </w:tc>
        <w:tc>
          <w:tcPr>
            <w:tcW w:w="1644" w:type="dxa"/>
          </w:tcPr>
          <w:p>
            <w:pPr>
              <w:pStyle w:val="0"/>
            </w:pPr>
            <w:r>
              <w:rPr>
                <w:sz w:val="24"/>
              </w:rPr>
            </w:r>
          </w:p>
        </w:tc>
      </w:tr>
      <w:tr>
        <w:tc>
          <w:tcPr>
            <w:tcW w:w="566" w:type="dxa"/>
          </w:tcPr>
          <w:p>
            <w:pPr>
              <w:pStyle w:val="0"/>
            </w:pPr>
            <w:r>
              <w:rPr>
                <w:sz w:val="24"/>
              </w:rPr>
              <w:t xml:space="preserve">5</w:t>
            </w:r>
          </w:p>
        </w:tc>
        <w:tc>
          <w:tcPr>
            <w:tcW w:w="6859" w:type="dxa"/>
          </w:tcPr>
          <w:p>
            <w:pPr>
              <w:pStyle w:val="0"/>
              <w:jc w:val="both"/>
            </w:pPr>
            <w:r>
              <w:rPr>
                <w:sz w:val="24"/>
              </w:rPr>
              <w:t xml:space="preserve">Фактический адрес нахождения страховой медицинской организации</w:t>
            </w:r>
          </w:p>
        </w:tc>
        <w:tc>
          <w:tcPr>
            <w:tcW w:w="1644" w:type="dxa"/>
          </w:tcPr>
          <w:p>
            <w:pPr>
              <w:pStyle w:val="0"/>
            </w:pPr>
            <w:r>
              <w:rPr>
                <w:sz w:val="24"/>
              </w:rPr>
            </w:r>
          </w:p>
        </w:tc>
      </w:tr>
      <w:tr>
        <w:tc>
          <w:tcPr>
            <w:tcW w:w="566" w:type="dxa"/>
          </w:tcPr>
          <w:p>
            <w:pPr>
              <w:pStyle w:val="0"/>
            </w:pPr>
            <w:r>
              <w:rPr>
                <w:sz w:val="24"/>
              </w:rPr>
              <w:t xml:space="preserve">6</w:t>
            </w:r>
          </w:p>
        </w:tc>
        <w:tc>
          <w:tcPr>
            <w:tcW w:w="6859" w:type="dxa"/>
          </w:tcPr>
          <w:p>
            <w:pPr>
              <w:pStyle w:val="0"/>
              <w:jc w:val="both"/>
            </w:pPr>
            <w:r>
              <w:rPr>
                <w:sz w:val="24"/>
              </w:rPr>
              <w:t xml:space="preserve">Юридический адрес филиала (представительства) страховой медицинской организации в соответствии с выпиской из единого государственного реестра юридических лиц (ЕГРЮЛ)</w:t>
            </w:r>
          </w:p>
        </w:tc>
        <w:tc>
          <w:tcPr>
            <w:tcW w:w="1644" w:type="dxa"/>
          </w:tcPr>
          <w:p>
            <w:pPr>
              <w:pStyle w:val="0"/>
            </w:pPr>
            <w:r>
              <w:rPr>
                <w:sz w:val="24"/>
              </w:rPr>
            </w:r>
          </w:p>
        </w:tc>
      </w:tr>
      <w:tr>
        <w:tc>
          <w:tcPr>
            <w:tcW w:w="566" w:type="dxa"/>
          </w:tcPr>
          <w:p>
            <w:pPr>
              <w:pStyle w:val="0"/>
            </w:pPr>
            <w:r>
              <w:rPr>
                <w:sz w:val="24"/>
              </w:rPr>
              <w:t xml:space="preserve">7</w:t>
            </w:r>
          </w:p>
        </w:tc>
        <w:tc>
          <w:tcPr>
            <w:tcW w:w="6859" w:type="dxa"/>
          </w:tcPr>
          <w:p>
            <w:pPr>
              <w:pStyle w:val="0"/>
              <w:jc w:val="both"/>
            </w:pPr>
            <w:r>
              <w:rPr>
                <w:sz w:val="24"/>
              </w:rPr>
              <w:t xml:space="preserve">Фактический адрес нахождения филиала (представительства) страховой медицинской организации</w:t>
            </w:r>
          </w:p>
        </w:tc>
        <w:tc>
          <w:tcPr>
            <w:tcW w:w="1644" w:type="dxa"/>
          </w:tcPr>
          <w:p>
            <w:pPr>
              <w:pStyle w:val="0"/>
            </w:pPr>
            <w:r>
              <w:rPr>
                <w:sz w:val="24"/>
              </w:rPr>
            </w:r>
          </w:p>
        </w:tc>
      </w:tr>
      <w:tr>
        <w:tc>
          <w:tcPr>
            <w:tcW w:w="566" w:type="dxa"/>
          </w:tcPr>
          <w:p>
            <w:pPr>
              <w:pStyle w:val="0"/>
            </w:pPr>
            <w:r>
              <w:rPr>
                <w:sz w:val="24"/>
              </w:rPr>
              <w:t xml:space="preserve">8</w:t>
            </w:r>
          </w:p>
        </w:tc>
        <w:tc>
          <w:tcPr>
            <w:tcW w:w="6859" w:type="dxa"/>
          </w:tcPr>
          <w:p>
            <w:pPr>
              <w:pStyle w:val="0"/>
              <w:jc w:val="both"/>
            </w:pPr>
            <w:r>
              <w:rPr>
                <w:sz w:val="24"/>
              </w:rPr>
              <w:t xml:space="preserve">Код причины постановки на учет (КПП) (для филиалов (представительств) в соответствии со свидетельством о постановке на учет российской организации в налоговом органе по месту ее нахождения)</w:t>
            </w:r>
          </w:p>
        </w:tc>
        <w:tc>
          <w:tcPr>
            <w:tcW w:w="1644" w:type="dxa"/>
          </w:tcPr>
          <w:p>
            <w:pPr>
              <w:pStyle w:val="0"/>
            </w:pPr>
            <w:r>
              <w:rPr>
                <w:sz w:val="24"/>
              </w:rPr>
            </w:r>
          </w:p>
        </w:tc>
      </w:tr>
      <w:tr>
        <w:tc>
          <w:tcPr>
            <w:tcW w:w="566" w:type="dxa"/>
          </w:tcPr>
          <w:p>
            <w:pPr>
              <w:pStyle w:val="0"/>
            </w:pPr>
            <w:r>
              <w:rPr>
                <w:sz w:val="24"/>
              </w:rPr>
              <w:t xml:space="preserve">9</w:t>
            </w:r>
          </w:p>
        </w:tc>
        <w:tc>
          <w:tcPr>
            <w:tcW w:w="6859" w:type="dxa"/>
          </w:tcPr>
          <w:p>
            <w:pPr>
              <w:pStyle w:val="0"/>
              <w:jc w:val="both"/>
            </w:pPr>
            <w:r>
              <w:rPr>
                <w:sz w:val="24"/>
              </w:rPr>
              <w:t xml:space="preserve">Идентификационный номер налогоплательщика (ИНН) (для филиалов (представительств) в соответствии со свидетельством о постановке на учет российской организации в налоговом органе по месту ее нахождения)</w:t>
            </w:r>
          </w:p>
        </w:tc>
        <w:tc>
          <w:tcPr>
            <w:tcW w:w="1644" w:type="dxa"/>
          </w:tcPr>
          <w:p>
            <w:pPr>
              <w:pStyle w:val="0"/>
            </w:pPr>
            <w:r>
              <w:rPr>
                <w:sz w:val="24"/>
              </w:rPr>
            </w:r>
          </w:p>
        </w:tc>
      </w:tr>
      <w:tr>
        <w:tc>
          <w:tcPr>
            <w:tcW w:w="566" w:type="dxa"/>
          </w:tcPr>
          <w:p>
            <w:pPr>
              <w:pStyle w:val="0"/>
            </w:pPr>
            <w:r>
              <w:rPr>
                <w:sz w:val="24"/>
              </w:rPr>
              <w:t xml:space="preserve">10</w:t>
            </w:r>
          </w:p>
        </w:tc>
        <w:tc>
          <w:tcPr>
            <w:tcW w:w="6859" w:type="dxa"/>
          </w:tcPr>
          <w:p>
            <w:pPr>
              <w:pStyle w:val="0"/>
              <w:jc w:val="both"/>
            </w:pPr>
            <w:r>
              <w:rPr>
                <w:sz w:val="24"/>
              </w:rPr>
              <w:t xml:space="preserve">Государственный регистрационный номер записи о создании юридического лица (ОГРН)</w:t>
            </w:r>
          </w:p>
        </w:tc>
        <w:tc>
          <w:tcPr>
            <w:tcW w:w="1644" w:type="dxa"/>
          </w:tcPr>
          <w:p>
            <w:pPr>
              <w:pStyle w:val="0"/>
            </w:pPr>
            <w:r>
              <w:rPr>
                <w:sz w:val="24"/>
              </w:rPr>
            </w:r>
          </w:p>
        </w:tc>
      </w:tr>
      <w:tr>
        <w:tc>
          <w:tcPr>
            <w:tcW w:w="566" w:type="dxa"/>
          </w:tcPr>
          <w:p>
            <w:pPr>
              <w:pStyle w:val="0"/>
            </w:pPr>
            <w:r>
              <w:rPr>
                <w:sz w:val="24"/>
              </w:rPr>
              <w:t xml:space="preserve">11</w:t>
            </w:r>
          </w:p>
        </w:tc>
        <w:tc>
          <w:tcPr>
            <w:tcW w:w="6859" w:type="dxa"/>
          </w:tcPr>
          <w:p>
            <w:pPr>
              <w:pStyle w:val="0"/>
              <w:jc w:val="both"/>
            </w:pPr>
            <w:r>
              <w:rPr>
                <w:sz w:val="24"/>
              </w:rPr>
              <w:t xml:space="preserve">Организационно-правовая форма страховой медицинской организации и код организационно-правовой формы </w:t>
            </w:r>
            <w:hyperlink w:history="0" r:id="rId280" w:tooltip="&quot;ОК 028-2012. Общероссийский классификатор организационно-правовых форм&quot; (утв. Приказом Росстандарта от 16.10.2012 N 505-ст) (ред. от 30.07.2025) (вместе с &quot;Пояснениями к позициям ОКОПФ&quot;) {КонсультантПлюс}">
              <w:r>
                <w:rPr>
                  <w:sz w:val="24"/>
                  <w:color w:val="0000ff"/>
                </w:rPr>
                <w:t xml:space="preserve">(ОКОПФ)</w:t>
              </w:r>
            </w:hyperlink>
            <w:r>
              <w:rPr>
                <w:sz w:val="24"/>
              </w:rPr>
              <w:t xml:space="preserve"> в соответствии с Уведомлением об идентификационных кодах по общероссийским классификаторам технико-экономической и социальной информации (ОК ТЭИ)</w:t>
            </w:r>
          </w:p>
        </w:tc>
        <w:tc>
          <w:tcPr>
            <w:tcW w:w="1644" w:type="dxa"/>
          </w:tcPr>
          <w:p>
            <w:pPr>
              <w:pStyle w:val="0"/>
            </w:pPr>
            <w:r>
              <w:rPr>
                <w:sz w:val="24"/>
              </w:rPr>
            </w:r>
          </w:p>
        </w:tc>
      </w:tr>
      <w:tr>
        <w:tc>
          <w:tcPr>
            <w:tcW w:w="566" w:type="dxa"/>
          </w:tcPr>
          <w:p>
            <w:pPr>
              <w:pStyle w:val="0"/>
            </w:pPr>
            <w:r>
              <w:rPr>
                <w:sz w:val="24"/>
              </w:rPr>
              <w:t xml:space="preserve">12</w:t>
            </w:r>
          </w:p>
        </w:tc>
        <w:tc>
          <w:tcPr>
            <w:tcW w:w="6859" w:type="dxa"/>
          </w:tcPr>
          <w:p>
            <w:pPr>
              <w:pStyle w:val="0"/>
              <w:jc w:val="both"/>
            </w:pPr>
            <w:r>
              <w:rPr>
                <w:sz w:val="24"/>
              </w:rPr>
              <w:t xml:space="preserve">Фамилия, имя, отчество (при наличии) руководителя</w:t>
            </w:r>
          </w:p>
        </w:tc>
        <w:tc>
          <w:tcPr>
            <w:tcW w:w="1644" w:type="dxa"/>
          </w:tcPr>
          <w:p>
            <w:pPr>
              <w:pStyle w:val="0"/>
            </w:pPr>
            <w:r>
              <w:rPr>
                <w:sz w:val="24"/>
              </w:rPr>
            </w:r>
          </w:p>
        </w:tc>
      </w:tr>
      <w:tr>
        <w:tc>
          <w:tcPr>
            <w:tcW w:w="566" w:type="dxa"/>
          </w:tcPr>
          <w:p>
            <w:pPr>
              <w:pStyle w:val="0"/>
            </w:pPr>
            <w:r>
              <w:rPr>
                <w:sz w:val="24"/>
              </w:rPr>
              <w:t xml:space="preserve">13</w:t>
            </w:r>
          </w:p>
        </w:tc>
        <w:tc>
          <w:tcPr>
            <w:tcW w:w="6859" w:type="dxa"/>
          </w:tcPr>
          <w:p>
            <w:pPr>
              <w:pStyle w:val="0"/>
              <w:jc w:val="both"/>
            </w:pPr>
            <w:r>
              <w:rPr>
                <w:sz w:val="24"/>
              </w:rPr>
              <w:t xml:space="preserve">Номер телефона руководителя</w:t>
            </w:r>
          </w:p>
        </w:tc>
        <w:tc>
          <w:tcPr>
            <w:tcW w:w="1644" w:type="dxa"/>
          </w:tcPr>
          <w:p>
            <w:pPr>
              <w:pStyle w:val="0"/>
            </w:pPr>
            <w:r>
              <w:rPr>
                <w:sz w:val="24"/>
              </w:rPr>
            </w:r>
          </w:p>
        </w:tc>
      </w:tr>
      <w:tr>
        <w:tc>
          <w:tcPr>
            <w:tcW w:w="566" w:type="dxa"/>
          </w:tcPr>
          <w:p>
            <w:pPr>
              <w:pStyle w:val="0"/>
            </w:pPr>
            <w:r>
              <w:rPr>
                <w:sz w:val="24"/>
              </w:rPr>
              <w:t xml:space="preserve">14</w:t>
            </w:r>
          </w:p>
        </w:tc>
        <w:tc>
          <w:tcPr>
            <w:tcW w:w="6859" w:type="dxa"/>
          </w:tcPr>
          <w:p>
            <w:pPr>
              <w:pStyle w:val="0"/>
              <w:jc w:val="both"/>
            </w:pPr>
            <w:r>
              <w:rPr>
                <w:sz w:val="24"/>
              </w:rPr>
              <w:t xml:space="preserve">Номер факса руководителя</w:t>
            </w:r>
          </w:p>
        </w:tc>
        <w:tc>
          <w:tcPr>
            <w:tcW w:w="1644" w:type="dxa"/>
          </w:tcPr>
          <w:p>
            <w:pPr>
              <w:pStyle w:val="0"/>
            </w:pPr>
            <w:r>
              <w:rPr>
                <w:sz w:val="24"/>
              </w:rPr>
            </w:r>
          </w:p>
        </w:tc>
      </w:tr>
      <w:tr>
        <w:tc>
          <w:tcPr>
            <w:tcW w:w="566" w:type="dxa"/>
          </w:tcPr>
          <w:p>
            <w:pPr>
              <w:pStyle w:val="0"/>
            </w:pPr>
            <w:r>
              <w:rPr>
                <w:sz w:val="24"/>
              </w:rPr>
              <w:t xml:space="preserve">15</w:t>
            </w:r>
          </w:p>
        </w:tc>
        <w:tc>
          <w:tcPr>
            <w:tcW w:w="6859" w:type="dxa"/>
          </w:tcPr>
          <w:p>
            <w:pPr>
              <w:pStyle w:val="0"/>
              <w:jc w:val="both"/>
            </w:pPr>
            <w:r>
              <w:rPr>
                <w:sz w:val="24"/>
              </w:rPr>
              <w:t xml:space="preserve">Адрес электронной почты руководителя</w:t>
            </w:r>
          </w:p>
        </w:tc>
        <w:tc>
          <w:tcPr>
            <w:tcW w:w="1644" w:type="dxa"/>
          </w:tcPr>
          <w:p>
            <w:pPr>
              <w:pStyle w:val="0"/>
            </w:pPr>
            <w:r>
              <w:rPr>
                <w:sz w:val="24"/>
              </w:rPr>
            </w:r>
          </w:p>
        </w:tc>
      </w:tr>
      <w:tr>
        <w:tc>
          <w:tcPr>
            <w:tcW w:w="566" w:type="dxa"/>
          </w:tcPr>
          <w:p>
            <w:pPr>
              <w:pStyle w:val="0"/>
            </w:pPr>
            <w:r>
              <w:rPr>
                <w:sz w:val="24"/>
              </w:rPr>
              <w:t xml:space="preserve">16</w:t>
            </w:r>
          </w:p>
        </w:tc>
        <w:tc>
          <w:tcPr>
            <w:tcW w:w="6859" w:type="dxa"/>
          </w:tcPr>
          <w:p>
            <w:pPr>
              <w:pStyle w:val="0"/>
              <w:jc w:val="both"/>
            </w:pPr>
            <w:r>
              <w:rPr>
                <w:sz w:val="24"/>
              </w:rPr>
              <w:t xml:space="preserve">Фамилия, имя, отчество (при наличии) руководителя филиала (представительства)</w:t>
            </w:r>
          </w:p>
        </w:tc>
        <w:tc>
          <w:tcPr>
            <w:tcW w:w="1644" w:type="dxa"/>
          </w:tcPr>
          <w:p>
            <w:pPr>
              <w:pStyle w:val="0"/>
            </w:pPr>
            <w:r>
              <w:rPr>
                <w:sz w:val="24"/>
              </w:rPr>
            </w:r>
          </w:p>
        </w:tc>
      </w:tr>
      <w:tr>
        <w:tc>
          <w:tcPr>
            <w:tcW w:w="566" w:type="dxa"/>
          </w:tcPr>
          <w:p>
            <w:pPr>
              <w:pStyle w:val="0"/>
            </w:pPr>
            <w:r>
              <w:rPr>
                <w:sz w:val="24"/>
              </w:rPr>
              <w:t xml:space="preserve">17</w:t>
            </w:r>
          </w:p>
        </w:tc>
        <w:tc>
          <w:tcPr>
            <w:tcW w:w="6859" w:type="dxa"/>
          </w:tcPr>
          <w:p>
            <w:pPr>
              <w:pStyle w:val="0"/>
              <w:jc w:val="both"/>
            </w:pPr>
            <w:r>
              <w:rPr>
                <w:sz w:val="24"/>
              </w:rPr>
              <w:t xml:space="preserve">Номер телефона руководителя филиала (представительства)</w:t>
            </w:r>
          </w:p>
        </w:tc>
        <w:tc>
          <w:tcPr>
            <w:tcW w:w="1644" w:type="dxa"/>
          </w:tcPr>
          <w:p>
            <w:pPr>
              <w:pStyle w:val="0"/>
            </w:pPr>
            <w:r>
              <w:rPr>
                <w:sz w:val="24"/>
              </w:rPr>
            </w:r>
          </w:p>
        </w:tc>
      </w:tr>
      <w:tr>
        <w:tc>
          <w:tcPr>
            <w:tcW w:w="566" w:type="dxa"/>
          </w:tcPr>
          <w:p>
            <w:pPr>
              <w:pStyle w:val="0"/>
            </w:pPr>
            <w:r>
              <w:rPr>
                <w:sz w:val="24"/>
              </w:rPr>
              <w:t xml:space="preserve">18</w:t>
            </w:r>
          </w:p>
        </w:tc>
        <w:tc>
          <w:tcPr>
            <w:tcW w:w="6859" w:type="dxa"/>
          </w:tcPr>
          <w:p>
            <w:pPr>
              <w:pStyle w:val="0"/>
              <w:jc w:val="both"/>
            </w:pPr>
            <w:r>
              <w:rPr>
                <w:sz w:val="24"/>
              </w:rPr>
              <w:t xml:space="preserve">Номер факса руководителя филиала (представительства)</w:t>
            </w:r>
          </w:p>
        </w:tc>
        <w:tc>
          <w:tcPr>
            <w:tcW w:w="1644" w:type="dxa"/>
          </w:tcPr>
          <w:p>
            <w:pPr>
              <w:pStyle w:val="0"/>
            </w:pPr>
            <w:r>
              <w:rPr>
                <w:sz w:val="24"/>
              </w:rPr>
            </w:r>
          </w:p>
        </w:tc>
      </w:tr>
      <w:tr>
        <w:tc>
          <w:tcPr>
            <w:tcW w:w="566" w:type="dxa"/>
          </w:tcPr>
          <w:p>
            <w:pPr>
              <w:pStyle w:val="0"/>
            </w:pPr>
            <w:r>
              <w:rPr>
                <w:sz w:val="24"/>
              </w:rPr>
              <w:t xml:space="preserve">19</w:t>
            </w:r>
          </w:p>
        </w:tc>
        <w:tc>
          <w:tcPr>
            <w:tcW w:w="6859" w:type="dxa"/>
          </w:tcPr>
          <w:p>
            <w:pPr>
              <w:pStyle w:val="0"/>
              <w:jc w:val="both"/>
            </w:pPr>
            <w:r>
              <w:rPr>
                <w:sz w:val="24"/>
              </w:rPr>
              <w:t xml:space="preserve">Адрес электронной почты руководителя филиала (представительства)</w:t>
            </w:r>
          </w:p>
        </w:tc>
        <w:tc>
          <w:tcPr>
            <w:tcW w:w="1644" w:type="dxa"/>
          </w:tcPr>
          <w:p>
            <w:pPr>
              <w:pStyle w:val="0"/>
            </w:pPr>
            <w:r>
              <w:rPr>
                <w:sz w:val="24"/>
              </w:rPr>
            </w:r>
          </w:p>
        </w:tc>
      </w:tr>
      <w:tr>
        <w:tc>
          <w:tcPr>
            <w:tcW w:w="566" w:type="dxa"/>
          </w:tcPr>
          <w:p>
            <w:pPr>
              <w:pStyle w:val="0"/>
            </w:pPr>
            <w:r>
              <w:rPr>
                <w:sz w:val="24"/>
              </w:rPr>
              <w:t xml:space="preserve">20</w:t>
            </w:r>
          </w:p>
        </w:tc>
        <w:tc>
          <w:tcPr>
            <w:tcW w:w="6859" w:type="dxa"/>
          </w:tcPr>
          <w:p>
            <w:pPr>
              <w:pStyle w:val="0"/>
              <w:jc w:val="both"/>
            </w:pPr>
            <w:r>
              <w:rPr>
                <w:sz w:val="24"/>
              </w:rPr>
              <w:t xml:space="preserve">Сведения о лицензии на осуществление страхования по виду деятельности - обязательное медицинское страхование (номер, дата выдачи, дата окончания действия)</w:t>
            </w:r>
          </w:p>
        </w:tc>
        <w:tc>
          <w:tcPr>
            <w:tcW w:w="1644" w:type="dxa"/>
          </w:tcPr>
          <w:p>
            <w:pPr>
              <w:pStyle w:val="0"/>
            </w:pPr>
            <w:r>
              <w:rPr>
                <w:sz w:val="24"/>
              </w:rPr>
            </w:r>
          </w:p>
        </w:tc>
      </w:tr>
      <w:tr>
        <w:tc>
          <w:tcPr>
            <w:tcW w:w="566" w:type="dxa"/>
          </w:tcPr>
          <w:p>
            <w:pPr>
              <w:pStyle w:val="0"/>
            </w:pPr>
            <w:r>
              <w:rPr>
                <w:sz w:val="24"/>
              </w:rPr>
              <w:t xml:space="preserve">21</w:t>
            </w:r>
          </w:p>
        </w:tc>
        <w:tc>
          <w:tcPr>
            <w:tcW w:w="6859" w:type="dxa"/>
          </w:tcPr>
          <w:p>
            <w:pPr>
              <w:pStyle w:val="0"/>
              <w:jc w:val="both"/>
            </w:pPr>
            <w:r>
              <w:rPr>
                <w:sz w:val="24"/>
              </w:rPr>
              <w:t xml:space="preserve">Численность застрахованных лиц в субъекте Российской Федерации на дату подачи уведомления о включении в реестр страховых медицинских организаций, осуществляющих деятельность в сфере обязательного медицинского страхования</w:t>
            </w:r>
          </w:p>
        </w:tc>
        <w:tc>
          <w:tcPr>
            <w:tcW w:w="1644" w:type="dxa"/>
          </w:tcPr>
          <w:p>
            <w:pPr>
              <w:pStyle w:val="0"/>
            </w:pPr>
            <w:r>
              <w:rPr>
                <w:sz w:val="24"/>
              </w:rPr>
            </w:r>
          </w:p>
        </w:tc>
      </w:tr>
      <w:tr>
        <w:tc>
          <w:tcPr>
            <w:tcW w:w="566" w:type="dxa"/>
          </w:tcPr>
          <w:p>
            <w:pPr>
              <w:pStyle w:val="0"/>
            </w:pPr>
            <w:r>
              <w:rPr>
                <w:sz w:val="24"/>
              </w:rPr>
              <w:t xml:space="preserve">22</w:t>
            </w:r>
          </w:p>
        </w:tc>
        <w:tc>
          <w:tcPr>
            <w:tcW w:w="6859" w:type="dxa"/>
          </w:tcPr>
          <w:p>
            <w:pPr>
              <w:pStyle w:val="0"/>
              <w:jc w:val="both"/>
            </w:pPr>
            <w:r>
              <w:rPr>
                <w:sz w:val="24"/>
              </w:rPr>
              <w:t xml:space="preserve">Сведения о возможности выполнения страховой медицинской организацией информационного сопровождения застрахованных лиц</w:t>
            </w:r>
          </w:p>
        </w:tc>
        <w:tc>
          <w:tcPr>
            <w:tcW w:w="1644" w:type="dxa"/>
          </w:tcPr>
          <w:p>
            <w:pPr>
              <w:pStyle w:val="0"/>
            </w:pPr>
            <w:r>
              <w:rPr>
                <w:sz w:val="24"/>
              </w:rPr>
            </w:r>
          </w:p>
        </w:tc>
      </w:tr>
      <w:tr>
        <w:tc>
          <w:tcPr>
            <w:tcW w:w="566" w:type="dxa"/>
          </w:tcPr>
          <w:p>
            <w:pPr>
              <w:pStyle w:val="0"/>
            </w:pPr>
            <w:r>
              <w:rPr>
                <w:sz w:val="24"/>
              </w:rPr>
              <w:t xml:space="preserve">23</w:t>
            </w:r>
          </w:p>
        </w:tc>
        <w:tc>
          <w:tcPr>
            <w:tcW w:w="6859" w:type="dxa"/>
          </w:tcPr>
          <w:p>
            <w:pPr>
              <w:pStyle w:val="0"/>
              <w:jc w:val="both"/>
            </w:pPr>
            <w:r>
              <w:rPr>
                <w:sz w:val="24"/>
              </w:rPr>
              <w:t xml:space="preserve">Количество представителей страховой медицинской организации, фактически осуществляющих деятельность по защите прав застрахованных лиц на дату подачи уведомления о включении в реестр страховых медицинских организаций, осуществляющих деятельность в сфере обязательного медицинского страхования</w:t>
            </w:r>
          </w:p>
        </w:tc>
        <w:tc>
          <w:tcPr>
            <w:tcW w:w="1644" w:type="dxa"/>
          </w:tcPr>
          <w:p>
            <w:pPr>
              <w:pStyle w:val="0"/>
            </w:pPr>
            <w:r>
              <w:rPr>
                <w:sz w:val="24"/>
              </w:rPr>
            </w:r>
          </w:p>
        </w:tc>
      </w:tr>
    </w:tbl>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1"/>
        <w:jc w:val="right"/>
      </w:pPr>
      <w:r>
        <w:rPr>
          <w:sz w:val="24"/>
        </w:rPr>
        <w:t xml:space="preserve">Приложение N 4</w:t>
      </w:r>
    </w:p>
    <w:p>
      <w:pPr>
        <w:pStyle w:val="0"/>
        <w:jc w:val="right"/>
      </w:pPr>
      <w:r>
        <w:rPr>
          <w:sz w:val="24"/>
        </w:rPr>
        <w:t xml:space="preserve">к Правилам обязательного медицинского</w:t>
      </w:r>
    </w:p>
    <w:p>
      <w:pPr>
        <w:pStyle w:val="0"/>
        <w:jc w:val="right"/>
      </w:pPr>
      <w:r>
        <w:rPr>
          <w:sz w:val="24"/>
        </w:rPr>
        <w:t xml:space="preserve">страхования, утвержденным приказом</w:t>
      </w:r>
    </w:p>
    <w:p>
      <w:pPr>
        <w:pStyle w:val="0"/>
        <w:jc w:val="right"/>
      </w:pPr>
      <w:r>
        <w:rPr>
          <w:sz w:val="24"/>
        </w:rPr>
        <w:t xml:space="preserve">Министерства здравоохранения</w:t>
      </w:r>
    </w:p>
    <w:p>
      <w:pPr>
        <w:pStyle w:val="0"/>
        <w:jc w:val="right"/>
      </w:pPr>
      <w:r>
        <w:rPr>
          <w:sz w:val="24"/>
        </w:rPr>
        <w:t xml:space="preserve">Российской Федерации</w:t>
      </w:r>
    </w:p>
    <w:p>
      <w:pPr>
        <w:pStyle w:val="0"/>
        <w:jc w:val="right"/>
      </w:pPr>
      <w:r>
        <w:rPr>
          <w:sz w:val="24"/>
        </w:rPr>
        <w:t xml:space="preserve">от 21 августа 2025 г. N 496н</w:t>
      </w:r>
    </w:p>
    <w:p>
      <w:pPr>
        <w:pStyle w:val="0"/>
        <w:jc w:val="both"/>
      </w:pPr>
      <w:r>
        <w:rPr>
          <w:sz w:val="24"/>
        </w:rPr>
      </w:r>
    </w:p>
    <w:p>
      <w:pPr>
        <w:pStyle w:val="0"/>
        <w:jc w:val="right"/>
      </w:pPr>
      <w:r>
        <w:rPr>
          <w:sz w:val="24"/>
        </w:rPr>
        <w:t xml:space="preserve">Рекомендуемый образец</w:t>
      </w:r>
    </w:p>
    <w:p>
      <w:pPr>
        <w:pStyle w:val="0"/>
        <w:jc w:val="both"/>
      </w:pPr>
      <w:r>
        <w:rPr>
          <w:sz w:val="24"/>
        </w:rPr>
      </w:r>
    </w:p>
    <w:bookmarkStart w:id="2132" w:name="P2132"/>
    <w:bookmarkEnd w:id="2132"/>
    <w:p>
      <w:pPr>
        <w:pStyle w:val="0"/>
        <w:jc w:val="center"/>
      </w:pPr>
      <w:r>
        <w:rPr>
          <w:sz w:val="24"/>
        </w:rPr>
        <w:t xml:space="preserve">Единый реестр</w:t>
      </w:r>
    </w:p>
    <w:p>
      <w:pPr>
        <w:pStyle w:val="0"/>
        <w:jc w:val="center"/>
      </w:pPr>
      <w:r>
        <w:rPr>
          <w:sz w:val="24"/>
        </w:rPr>
        <w:t xml:space="preserve">медицинских организаций, осуществляющих деятельность в сфере</w:t>
      </w:r>
    </w:p>
    <w:p>
      <w:pPr>
        <w:pStyle w:val="0"/>
        <w:jc w:val="center"/>
      </w:pPr>
      <w:r>
        <w:rPr>
          <w:sz w:val="24"/>
        </w:rPr>
        <w:t xml:space="preserve">обязательного медицинского страхования</w:t>
      </w:r>
    </w:p>
    <w:p>
      <w:pPr>
        <w:pStyle w:val="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8503"/>
        <w:gridCol w:w="566"/>
      </w:tblGrid>
      <w:tr>
        <w:tc>
          <w:tcPr>
            <w:tcW w:w="8503" w:type="dxa"/>
          </w:tcPr>
          <w:p>
            <w:pPr>
              <w:pStyle w:val="0"/>
              <w:jc w:val="both"/>
            </w:pPr>
            <w:r>
              <w:rPr>
                <w:sz w:val="24"/>
              </w:rPr>
              <w:t xml:space="preserve">Код медицинской организации (уникальный номер записи единого реестра медицинских организаций, в которой содержатся сведения о медицинской организации) (индивидуального предпринимателя, осуществляющего медицинскую деятельность)</w:t>
            </w:r>
          </w:p>
        </w:tc>
        <w:tc>
          <w:tcPr>
            <w:tcW w:w="566" w:type="dxa"/>
          </w:tcPr>
          <w:p>
            <w:pPr>
              <w:pStyle w:val="0"/>
            </w:pPr>
            <w:r>
              <w:rPr>
                <w:sz w:val="24"/>
              </w:rPr>
              <w:t xml:space="preserve">1</w:t>
            </w:r>
          </w:p>
        </w:tc>
      </w:tr>
      <w:tr>
        <w:tc>
          <w:tcPr>
            <w:tcW w:w="8503" w:type="dxa"/>
          </w:tcPr>
          <w:p>
            <w:pPr>
              <w:pStyle w:val="0"/>
              <w:jc w:val="both"/>
            </w:pPr>
            <w:r>
              <w:rPr>
                <w:sz w:val="24"/>
              </w:rPr>
              <w:t xml:space="preserve">Полное и сокращенное (при наличии) наименования медицинской организации в соответствии со сведениями единого государственного реестра юридических лиц (ЕГРЮЛ)</w:t>
            </w:r>
          </w:p>
        </w:tc>
        <w:tc>
          <w:tcPr>
            <w:tcW w:w="566" w:type="dxa"/>
          </w:tcPr>
          <w:p>
            <w:pPr>
              <w:pStyle w:val="0"/>
            </w:pPr>
            <w:r>
              <w:rPr>
                <w:sz w:val="24"/>
              </w:rPr>
              <w:t xml:space="preserve">2</w:t>
            </w:r>
          </w:p>
        </w:tc>
      </w:tr>
      <w:tr>
        <w:tc>
          <w:tcPr>
            <w:tcW w:w="8503" w:type="dxa"/>
          </w:tcPr>
          <w:p>
            <w:pPr>
              <w:pStyle w:val="0"/>
              <w:jc w:val="both"/>
            </w:pPr>
            <w:r>
              <w:rPr>
                <w:sz w:val="24"/>
              </w:rPr>
              <w:t xml:space="preserve">Фамилия, имя, отчество (при наличии) индивидуального предпринимателя, осуществляющего медицинскую деятельность, в соответствии со сведениями Единого государственного реестра индивидуальных предпринимателей (ЕГРИП)</w:t>
            </w:r>
          </w:p>
        </w:tc>
        <w:tc>
          <w:tcPr>
            <w:tcW w:w="566" w:type="dxa"/>
          </w:tcPr>
          <w:p>
            <w:pPr>
              <w:pStyle w:val="0"/>
            </w:pPr>
            <w:r>
              <w:rPr>
                <w:sz w:val="24"/>
              </w:rPr>
              <w:t xml:space="preserve">3</w:t>
            </w:r>
          </w:p>
        </w:tc>
      </w:tr>
      <w:tr>
        <w:tc>
          <w:tcPr>
            <w:tcW w:w="8503" w:type="dxa"/>
          </w:tcPr>
          <w:p>
            <w:pPr>
              <w:pStyle w:val="0"/>
              <w:jc w:val="both"/>
            </w:pPr>
            <w:r>
              <w:rPr>
                <w:sz w:val="24"/>
              </w:rPr>
              <w:t xml:space="preserve">Идентификационный номер налогоплательщика (ИНН) медицинской организации (индивидуального предпринимателя) в соответствии со свидетельством о постановке на учет в налоговом органе</w:t>
            </w:r>
          </w:p>
        </w:tc>
        <w:tc>
          <w:tcPr>
            <w:tcW w:w="566" w:type="dxa"/>
          </w:tcPr>
          <w:p>
            <w:pPr>
              <w:pStyle w:val="0"/>
            </w:pPr>
            <w:r>
              <w:rPr>
                <w:sz w:val="24"/>
              </w:rPr>
              <w:t xml:space="preserve">4</w:t>
            </w:r>
          </w:p>
        </w:tc>
      </w:tr>
      <w:tr>
        <w:tc>
          <w:tcPr>
            <w:tcW w:w="8503" w:type="dxa"/>
          </w:tcPr>
          <w:p>
            <w:pPr>
              <w:pStyle w:val="0"/>
              <w:jc w:val="both"/>
            </w:pPr>
            <w:r>
              <w:rPr>
                <w:sz w:val="24"/>
              </w:rPr>
              <w:t xml:space="preserve">Код причины постановки на учет (КПП) медицинской организации в соответствии со свидетельством о постановке на учет в налоговом органе</w:t>
            </w:r>
          </w:p>
        </w:tc>
        <w:tc>
          <w:tcPr>
            <w:tcW w:w="566" w:type="dxa"/>
          </w:tcPr>
          <w:p>
            <w:pPr>
              <w:pStyle w:val="0"/>
            </w:pPr>
            <w:r>
              <w:rPr>
                <w:sz w:val="24"/>
              </w:rPr>
              <w:t xml:space="preserve">5</w:t>
            </w:r>
          </w:p>
        </w:tc>
      </w:tr>
      <w:tr>
        <w:tc>
          <w:tcPr>
            <w:tcW w:w="8503" w:type="dxa"/>
          </w:tcPr>
          <w:p>
            <w:pPr>
              <w:pStyle w:val="0"/>
              <w:jc w:val="both"/>
            </w:pPr>
            <w:r>
              <w:rPr>
                <w:sz w:val="24"/>
              </w:rPr>
              <w:t xml:space="preserve">Государственный регистрационный номер записи о создании юридического лица (ОГРН) медицинской организации</w:t>
            </w:r>
          </w:p>
        </w:tc>
        <w:tc>
          <w:tcPr>
            <w:tcW w:w="566" w:type="dxa"/>
          </w:tcPr>
          <w:p>
            <w:pPr>
              <w:pStyle w:val="0"/>
            </w:pPr>
            <w:r>
              <w:rPr>
                <w:sz w:val="24"/>
              </w:rPr>
              <w:t xml:space="preserve">6</w:t>
            </w:r>
          </w:p>
        </w:tc>
      </w:tr>
      <w:tr>
        <w:tc>
          <w:tcPr>
            <w:tcW w:w="8503" w:type="dxa"/>
          </w:tcPr>
          <w:p>
            <w:pPr>
              <w:pStyle w:val="0"/>
              <w:jc w:val="both"/>
            </w:pPr>
            <w:r>
              <w:rPr>
                <w:sz w:val="24"/>
              </w:rPr>
              <w:t xml:space="preserve">Код организационно-правовой формы медицинской организации в соответствии с Общероссийским </w:t>
            </w:r>
            <w:hyperlink w:history="0" r:id="rId281" w:tooltip="&quot;ОК 028-2012. Общероссийский классификатор организационно-правовых форм&quot; (утв. Приказом Росстандарта от 16.10.2012 N 505-ст) (ред. от 30.07.2025) (вместе с &quot;Пояснениями к позициям ОКОПФ&quot;) {КонсультантПлюс}">
              <w:r>
                <w:rPr>
                  <w:sz w:val="24"/>
                  <w:color w:val="0000ff"/>
                </w:rPr>
                <w:t xml:space="preserve">классификатором</w:t>
              </w:r>
            </w:hyperlink>
            <w:r>
              <w:rPr>
                <w:sz w:val="24"/>
              </w:rPr>
              <w:t xml:space="preserve"> организационно-правовых форм (ОКОПФ)</w:t>
            </w:r>
          </w:p>
        </w:tc>
        <w:tc>
          <w:tcPr>
            <w:tcW w:w="566" w:type="dxa"/>
          </w:tcPr>
          <w:p>
            <w:pPr>
              <w:pStyle w:val="0"/>
            </w:pPr>
            <w:r>
              <w:rPr>
                <w:sz w:val="24"/>
              </w:rPr>
              <w:t xml:space="preserve">7</w:t>
            </w:r>
          </w:p>
        </w:tc>
      </w:tr>
      <w:tr>
        <w:tc>
          <w:tcPr>
            <w:tcW w:w="8503" w:type="dxa"/>
          </w:tcPr>
          <w:p>
            <w:pPr>
              <w:pStyle w:val="0"/>
              <w:jc w:val="both"/>
            </w:pPr>
            <w:r>
              <w:rPr>
                <w:sz w:val="24"/>
              </w:rPr>
              <w:t xml:space="preserve">Код формы собственности медицинской организации в соответствии с Общероссийским </w:t>
            </w:r>
            <w:hyperlink w:history="0" r:id="rId282" w:tooltip="Постановление Госстандарта России от 30.03.1999 N 97 (ред. от 22.09.2023) &quot;О принятии и введении в действие Общероссийских классификаторов&quot; (вместе с &quot;ОК 027-99. Общероссийский классификатор форм собственности&quot;) (дата введения 01.01.2000) {КонсультантПлюс}">
              <w:r>
                <w:rPr>
                  <w:sz w:val="24"/>
                  <w:color w:val="0000ff"/>
                </w:rPr>
                <w:t xml:space="preserve">классификатором</w:t>
              </w:r>
            </w:hyperlink>
            <w:r>
              <w:rPr>
                <w:sz w:val="24"/>
              </w:rPr>
              <w:t xml:space="preserve"> форм собственности (ОКФС)</w:t>
            </w:r>
          </w:p>
        </w:tc>
        <w:tc>
          <w:tcPr>
            <w:tcW w:w="566" w:type="dxa"/>
          </w:tcPr>
          <w:p>
            <w:pPr>
              <w:pStyle w:val="0"/>
            </w:pPr>
            <w:r>
              <w:rPr>
                <w:sz w:val="24"/>
              </w:rPr>
              <w:t xml:space="preserve">8</w:t>
            </w:r>
          </w:p>
        </w:tc>
      </w:tr>
      <w:tr>
        <w:tc>
          <w:tcPr>
            <w:tcW w:w="8503" w:type="dxa"/>
          </w:tcPr>
          <w:p>
            <w:pPr>
              <w:pStyle w:val="0"/>
              <w:jc w:val="both"/>
            </w:pPr>
            <w:r>
              <w:rPr>
                <w:sz w:val="24"/>
              </w:rPr>
              <w:t xml:space="preserve">Сведения об учредителе (учредителях) медицинской организации, являющейся государственным (муниципальным) учреждением</w:t>
            </w:r>
          </w:p>
        </w:tc>
        <w:tc>
          <w:tcPr>
            <w:tcW w:w="566" w:type="dxa"/>
          </w:tcPr>
          <w:p>
            <w:pPr>
              <w:pStyle w:val="0"/>
            </w:pPr>
            <w:r>
              <w:rPr>
                <w:sz w:val="24"/>
              </w:rPr>
              <w:t xml:space="preserve">9</w:t>
            </w:r>
          </w:p>
        </w:tc>
      </w:tr>
      <w:tr>
        <w:tc>
          <w:tcPr>
            <w:tcW w:w="8503" w:type="dxa"/>
          </w:tcPr>
          <w:p>
            <w:pPr>
              <w:pStyle w:val="0"/>
              <w:jc w:val="both"/>
            </w:pPr>
            <w:r>
              <w:rPr>
                <w:sz w:val="24"/>
              </w:rPr>
              <w:t xml:space="preserve">Вид медицинской организации в соответствии с номенклатурой медицинских организаций</w:t>
            </w:r>
          </w:p>
        </w:tc>
        <w:tc>
          <w:tcPr>
            <w:tcW w:w="566" w:type="dxa"/>
          </w:tcPr>
          <w:p>
            <w:pPr>
              <w:pStyle w:val="0"/>
            </w:pPr>
            <w:r>
              <w:rPr>
                <w:sz w:val="24"/>
              </w:rPr>
              <w:t xml:space="preserve">10</w:t>
            </w:r>
          </w:p>
        </w:tc>
      </w:tr>
      <w:tr>
        <w:tc>
          <w:tcPr>
            <w:tcW w:w="8503" w:type="dxa"/>
          </w:tcPr>
          <w:p>
            <w:pPr>
              <w:pStyle w:val="0"/>
              <w:jc w:val="both"/>
            </w:pPr>
            <w:r>
              <w:rPr>
                <w:sz w:val="24"/>
              </w:rPr>
              <w:t xml:space="preserve">Адрес медицинской организации в пределах места нахождения медицинской организации</w:t>
            </w:r>
          </w:p>
        </w:tc>
        <w:tc>
          <w:tcPr>
            <w:tcW w:w="566" w:type="dxa"/>
          </w:tcPr>
          <w:p>
            <w:pPr>
              <w:pStyle w:val="0"/>
            </w:pPr>
            <w:r>
              <w:rPr>
                <w:sz w:val="24"/>
              </w:rPr>
              <w:t xml:space="preserve">11</w:t>
            </w:r>
          </w:p>
        </w:tc>
      </w:tr>
      <w:tr>
        <w:tc>
          <w:tcPr>
            <w:tcW w:w="8503" w:type="dxa"/>
          </w:tcPr>
          <w:p>
            <w:pPr>
              <w:pStyle w:val="0"/>
              <w:jc w:val="both"/>
            </w:pPr>
            <w:r>
              <w:rPr>
                <w:sz w:val="24"/>
              </w:rPr>
              <w:t xml:space="preserve">Адрес, по которому индивидуальный предприниматель зарегистрирован по месту жительства в установленном законодательством Российской Федерации порядке (для индивидуальных предпринимателей, осуществляющих медицинскую деятельность)</w:t>
            </w:r>
          </w:p>
        </w:tc>
        <w:tc>
          <w:tcPr>
            <w:tcW w:w="566" w:type="dxa"/>
          </w:tcPr>
          <w:p>
            <w:pPr>
              <w:pStyle w:val="0"/>
            </w:pPr>
            <w:r>
              <w:rPr>
                <w:sz w:val="24"/>
              </w:rPr>
              <w:t xml:space="preserve">12</w:t>
            </w:r>
          </w:p>
        </w:tc>
      </w:tr>
      <w:tr>
        <w:tc>
          <w:tcPr>
            <w:tcW w:w="8503" w:type="dxa"/>
          </w:tcPr>
          <w:p>
            <w:pPr>
              <w:pStyle w:val="0"/>
              <w:jc w:val="both"/>
            </w:pPr>
            <w:r>
              <w:rPr>
                <w:sz w:val="24"/>
              </w:rPr>
              <w:t xml:space="preserve">Уникальный номер адреса медицинской организации в пределах места нахождения медицинской организации, адреса, по которому индивидуальный предприниматель зарегистрирован по месту жительства в установленном законодательством Российской Федерации порядке, в государственном адресном реестре</w:t>
            </w:r>
          </w:p>
        </w:tc>
        <w:tc>
          <w:tcPr>
            <w:tcW w:w="566" w:type="dxa"/>
          </w:tcPr>
          <w:p>
            <w:pPr>
              <w:pStyle w:val="0"/>
            </w:pPr>
            <w:r>
              <w:rPr>
                <w:sz w:val="24"/>
              </w:rPr>
              <w:t xml:space="preserve">13</w:t>
            </w:r>
          </w:p>
        </w:tc>
      </w:tr>
      <w:tr>
        <w:tc>
          <w:tcPr>
            <w:tcW w:w="8503" w:type="dxa"/>
          </w:tcPr>
          <w:p>
            <w:pPr>
              <w:pStyle w:val="0"/>
              <w:jc w:val="both"/>
            </w:pPr>
            <w:r>
              <w:rPr>
                <w:sz w:val="24"/>
              </w:rPr>
              <w:t xml:space="preserve">Код территории субъекта Российской Федерации, в котором расположена медицинская организация, в котором зарегистрирован по месту жительства в установленном законодательством Российской Федерации порядке индивидуальный предприниматель, по Общероссийскому </w:t>
            </w:r>
            <w:hyperlink w:history="0" r:id="rId283" w:tooltip="&quot;ОК 033-2013. Общероссийский классификатор территорий муниципальных образований&quot; (Том 1. Центральный федеральный округ) (утв. Приказом Росстандарта от 14.06.2013 N 159-ст) (с учетом Изменений 1/2013 - 923/2025) {КонсультантПлюс}">
              <w:r>
                <w:rPr>
                  <w:sz w:val="24"/>
                  <w:color w:val="0000ff"/>
                </w:rPr>
                <w:t xml:space="preserve">классификатору</w:t>
              </w:r>
            </w:hyperlink>
            <w:r>
              <w:rPr>
                <w:sz w:val="24"/>
              </w:rPr>
              <w:t xml:space="preserve"> территорий муниципальных образований (ОКТМО)</w:t>
            </w:r>
          </w:p>
        </w:tc>
        <w:tc>
          <w:tcPr>
            <w:tcW w:w="566" w:type="dxa"/>
          </w:tcPr>
          <w:p>
            <w:pPr>
              <w:pStyle w:val="0"/>
            </w:pPr>
            <w:r>
              <w:rPr>
                <w:sz w:val="24"/>
              </w:rPr>
              <w:t xml:space="preserve">14</w:t>
            </w:r>
          </w:p>
        </w:tc>
      </w:tr>
      <w:tr>
        <w:tc>
          <w:tcPr>
            <w:tcW w:w="8503" w:type="dxa"/>
          </w:tcPr>
          <w:p>
            <w:pPr>
              <w:pStyle w:val="0"/>
              <w:jc w:val="both"/>
            </w:pPr>
            <w:r>
              <w:rPr>
                <w:sz w:val="24"/>
              </w:rPr>
              <w:t xml:space="preserve">Адрес электронной почты, номер телефона медицинской организации (индивидуального предпринимателя, осуществляющего медицинскую деятельность)</w:t>
            </w:r>
          </w:p>
        </w:tc>
        <w:tc>
          <w:tcPr>
            <w:tcW w:w="566" w:type="dxa"/>
          </w:tcPr>
          <w:p>
            <w:pPr>
              <w:pStyle w:val="0"/>
            </w:pPr>
            <w:r>
              <w:rPr>
                <w:sz w:val="24"/>
              </w:rPr>
              <w:t xml:space="preserve">15</w:t>
            </w:r>
          </w:p>
        </w:tc>
      </w:tr>
      <w:tr>
        <w:tc>
          <w:tcPr>
            <w:tcW w:w="8503" w:type="dxa"/>
          </w:tcPr>
          <w:p>
            <w:pPr>
              <w:pStyle w:val="0"/>
              <w:jc w:val="both"/>
            </w:pPr>
            <w:r>
              <w:rPr>
                <w:sz w:val="24"/>
              </w:rPr>
              <w:t xml:space="preserve">Фамилия, имя, отчество (при наличии) руководителя и иных лиц медицинской организации, имеющих право действовать от имени медицинской организации без доверенности (для медицинской организации)</w:t>
            </w:r>
          </w:p>
        </w:tc>
        <w:tc>
          <w:tcPr>
            <w:tcW w:w="566" w:type="dxa"/>
          </w:tcPr>
          <w:p>
            <w:pPr>
              <w:pStyle w:val="0"/>
            </w:pPr>
            <w:r>
              <w:rPr>
                <w:sz w:val="24"/>
              </w:rPr>
              <w:t xml:space="preserve">16</w:t>
            </w:r>
          </w:p>
        </w:tc>
      </w:tr>
      <w:tr>
        <w:tc>
          <w:tcPr>
            <w:tcW w:w="8503" w:type="dxa"/>
          </w:tcPr>
          <w:p>
            <w:pPr>
              <w:pStyle w:val="0"/>
              <w:jc w:val="both"/>
            </w:pPr>
            <w:r>
              <w:rPr>
                <w:sz w:val="24"/>
              </w:rPr>
              <w:t xml:space="preserve">Банковские реквизиты медицинской организации</w:t>
            </w:r>
          </w:p>
        </w:tc>
        <w:tc>
          <w:tcPr>
            <w:tcW w:w="566" w:type="dxa"/>
          </w:tcPr>
          <w:p>
            <w:pPr>
              <w:pStyle w:val="0"/>
            </w:pPr>
            <w:r>
              <w:rPr>
                <w:sz w:val="24"/>
              </w:rPr>
              <w:t xml:space="preserve">17</w:t>
            </w:r>
          </w:p>
        </w:tc>
      </w:tr>
      <w:tr>
        <w:tc>
          <w:tcPr>
            <w:tcW w:w="8503" w:type="dxa"/>
          </w:tcPr>
          <w:p>
            <w:pPr>
              <w:pStyle w:val="0"/>
              <w:jc w:val="both"/>
            </w:pPr>
            <w:r>
              <w:rPr>
                <w:sz w:val="24"/>
              </w:rPr>
              <w:t xml:space="preserve">Сведения о лицензии на осуществление медицинской деятельности</w:t>
            </w:r>
          </w:p>
        </w:tc>
        <w:tc>
          <w:tcPr>
            <w:tcW w:w="566" w:type="dxa"/>
          </w:tcPr>
          <w:p>
            <w:pPr>
              <w:pStyle w:val="0"/>
            </w:pPr>
            <w:r>
              <w:rPr>
                <w:sz w:val="24"/>
              </w:rPr>
              <w:t xml:space="preserve">18</w:t>
            </w:r>
          </w:p>
        </w:tc>
      </w:tr>
      <w:tr>
        <w:tc>
          <w:tcPr>
            <w:tcW w:w="8503" w:type="dxa"/>
          </w:tcPr>
          <w:p>
            <w:pPr>
              <w:pStyle w:val="0"/>
              <w:jc w:val="both"/>
            </w:pPr>
            <w:r>
              <w:rPr>
                <w:sz w:val="24"/>
              </w:rPr>
              <w:t xml:space="preserve">Сведения об обособленных структурных подразделениях медицинской организации (при наличии)</w:t>
            </w:r>
          </w:p>
        </w:tc>
        <w:tc>
          <w:tcPr>
            <w:tcW w:w="566" w:type="dxa"/>
          </w:tcPr>
          <w:p>
            <w:pPr>
              <w:pStyle w:val="0"/>
            </w:pPr>
            <w:r>
              <w:rPr>
                <w:sz w:val="24"/>
              </w:rPr>
              <w:t xml:space="preserve">19</w:t>
            </w:r>
          </w:p>
        </w:tc>
      </w:tr>
      <w:tr>
        <w:tc>
          <w:tcPr>
            <w:tcW w:w="8503" w:type="dxa"/>
          </w:tcPr>
          <w:p>
            <w:pPr>
              <w:pStyle w:val="0"/>
              <w:jc w:val="both"/>
            </w:pPr>
            <w:r>
              <w:rPr>
                <w:sz w:val="24"/>
              </w:rPr>
              <w:t xml:space="preserve">Сведения об адресах оказания медицинской помощи медицинской организацией, расположенных по данным адресам обособленных структурных подразделений медицинской организации и (или) наименованиях структурных подразделений, расположенных по данным адресам (при наличии), уникальные номера адресов оказания медицинской помощи в государственном адресном реестре</w:t>
            </w:r>
          </w:p>
        </w:tc>
        <w:tc>
          <w:tcPr>
            <w:tcW w:w="566" w:type="dxa"/>
          </w:tcPr>
          <w:p>
            <w:pPr>
              <w:pStyle w:val="0"/>
            </w:pPr>
            <w:r>
              <w:rPr>
                <w:sz w:val="24"/>
              </w:rPr>
              <w:t xml:space="preserve">20</w:t>
            </w:r>
          </w:p>
        </w:tc>
      </w:tr>
      <w:tr>
        <w:tc>
          <w:tcPr>
            <w:tcW w:w="8503" w:type="dxa"/>
          </w:tcPr>
          <w:p>
            <w:pPr>
              <w:pStyle w:val="0"/>
              <w:jc w:val="both"/>
            </w:pPr>
            <w:r>
              <w:rPr>
                <w:sz w:val="24"/>
              </w:rPr>
              <w:t xml:space="preserve">Мощность коечного фонда медицинской организации и количество врачей, участвующих в оказании первичной медико-санитарной помощи, в разрезе профилей и адресов оказания медицинской помощи</w:t>
            </w:r>
          </w:p>
        </w:tc>
        <w:tc>
          <w:tcPr>
            <w:tcW w:w="566" w:type="dxa"/>
          </w:tcPr>
          <w:p>
            <w:pPr>
              <w:pStyle w:val="0"/>
            </w:pPr>
            <w:r>
              <w:rPr>
                <w:sz w:val="24"/>
              </w:rPr>
              <w:t xml:space="preserve">21</w:t>
            </w:r>
          </w:p>
        </w:tc>
      </w:tr>
      <w:tr>
        <w:tc>
          <w:tcPr>
            <w:tcW w:w="8503" w:type="dxa"/>
          </w:tcPr>
          <w:p>
            <w:pPr>
              <w:pStyle w:val="0"/>
              <w:jc w:val="both"/>
            </w:pPr>
            <w:r>
              <w:rPr>
                <w:sz w:val="24"/>
              </w:rPr>
              <w:t xml:space="preserve">Наименования субъектов Российской Федерации, в реализации территориальных программ которых участвуют медицинская организация и ее обособленные структурные подразделения</w:t>
            </w:r>
          </w:p>
        </w:tc>
        <w:tc>
          <w:tcPr>
            <w:tcW w:w="566" w:type="dxa"/>
          </w:tcPr>
          <w:p>
            <w:pPr>
              <w:pStyle w:val="0"/>
            </w:pPr>
            <w:r>
              <w:rPr>
                <w:sz w:val="24"/>
              </w:rPr>
              <w:t xml:space="preserve">22</w:t>
            </w:r>
          </w:p>
        </w:tc>
      </w:tr>
      <w:tr>
        <w:tc>
          <w:tcPr>
            <w:tcW w:w="8503" w:type="dxa"/>
          </w:tcPr>
          <w:p>
            <w:pPr>
              <w:pStyle w:val="0"/>
              <w:jc w:val="both"/>
            </w:pPr>
            <w:r>
              <w:rPr>
                <w:sz w:val="24"/>
              </w:rPr>
              <w:t xml:space="preserve">Коды территорий субъектов Российской Федерации, в реализации территориальных программ которых участвуют медицинская организация и ее обособленные структурные подразделения, по Общероссийскому </w:t>
            </w:r>
            <w:hyperlink w:history="0" r:id="rId284" w:tooltip="&quot;ОК 033-2013. Общероссийский классификатор территорий муниципальных образований&quot; (Том 1. Центральный федеральный округ) (утв. Приказом Росстандарта от 14.06.2013 N 159-ст) (с учетом Изменений 1/2013 - 923/2025) {КонсультантПлюс}">
              <w:r>
                <w:rPr>
                  <w:sz w:val="24"/>
                  <w:color w:val="0000ff"/>
                </w:rPr>
                <w:t xml:space="preserve">классификатору</w:t>
              </w:r>
            </w:hyperlink>
            <w:r>
              <w:rPr>
                <w:sz w:val="24"/>
              </w:rPr>
              <w:t xml:space="preserve"> территорий муниципальных образований (ОКТМО)</w:t>
            </w:r>
          </w:p>
        </w:tc>
        <w:tc>
          <w:tcPr>
            <w:tcW w:w="566" w:type="dxa"/>
          </w:tcPr>
          <w:p>
            <w:pPr>
              <w:pStyle w:val="0"/>
            </w:pPr>
            <w:r>
              <w:rPr>
                <w:sz w:val="24"/>
              </w:rPr>
              <w:t xml:space="preserve">23</w:t>
            </w:r>
          </w:p>
        </w:tc>
      </w:tr>
      <w:tr>
        <w:tc>
          <w:tcPr>
            <w:tcW w:w="8503" w:type="dxa"/>
          </w:tcPr>
          <w:p>
            <w:pPr>
              <w:pStyle w:val="0"/>
              <w:jc w:val="both"/>
            </w:pPr>
            <w:r>
              <w:rPr>
                <w:sz w:val="24"/>
              </w:rPr>
              <w:t xml:space="preserve">Сведения о территориальных программах, в реализации которых участвует медицинская организация</w:t>
            </w:r>
          </w:p>
        </w:tc>
        <w:tc>
          <w:tcPr>
            <w:tcW w:w="566" w:type="dxa"/>
          </w:tcPr>
          <w:p>
            <w:pPr>
              <w:pStyle w:val="0"/>
            </w:pPr>
            <w:r>
              <w:rPr>
                <w:sz w:val="24"/>
              </w:rPr>
              <w:t xml:space="preserve">24</w:t>
            </w:r>
          </w:p>
        </w:tc>
      </w:tr>
      <w:tr>
        <w:tc>
          <w:tcPr>
            <w:tcW w:w="8503" w:type="dxa"/>
          </w:tcPr>
          <w:p>
            <w:pPr>
              <w:pStyle w:val="0"/>
              <w:jc w:val="both"/>
            </w:pPr>
            <w:r>
              <w:rPr>
                <w:sz w:val="24"/>
              </w:rPr>
              <w:t xml:space="preserve">Сведения об участии медицинской организации, функции и полномочия учредителей в отношении которой осуществляют Правительство Российской Федерации или федеральные органы исполнительной власти, в оказании медицинской помощи, финансовое обеспечение которой осуществляется в соответствии с </w:t>
            </w:r>
            <w:hyperlink w:history="0" r:id="rId285" w:tooltip="Федеральный закон от 29.11.2010 N 326-ФЗ (ред. от 20.02.2026) &quot;Об обязательном медицинском страховании в Российской Федерации&quot; {КонсультантПлюс}">
              <w:r>
                <w:rPr>
                  <w:sz w:val="24"/>
                  <w:color w:val="0000ff"/>
                </w:rPr>
                <w:t xml:space="preserve">пунктом 11 статьи 5</w:t>
              </w:r>
            </w:hyperlink>
            <w:r>
              <w:rPr>
                <w:sz w:val="24"/>
              </w:rPr>
              <w:t xml:space="preserve"> Федерального закона от 29 ноября 2010 г. N 326-ФЗ "Об обязательном медицинском страховании в Российской Федерации" (далее - Федеральный закон)</w:t>
            </w:r>
          </w:p>
        </w:tc>
        <w:tc>
          <w:tcPr>
            <w:tcW w:w="566" w:type="dxa"/>
          </w:tcPr>
          <w:p>
            <w:pPr>
              <w:pStyle w:val="0"/>
            </w:pPr>
            <w:r>
              <w:rPr>
                <w:sz w:val="24"/>
              </w:rPr>
              <w:t xml:space="preserve">25</w:t>
            </w:r>
          </w:p>
        </w:tc>
      </w:tr>
      <w:tr>
        <w:tc>
          <w:tcPr>
            <w:tcW w:w="8503" w:type="dxa"/>
          </w:tcPr>
          <w:p>
            <w:pPr>
              <w:pStyle w:val="0"/>
              <w:jc w:val="both"/>
            </w:pPr>
            <w:r>
              <w:rPr>
                <w:sz w:val="24"/>
              </w:rPr>
              <w:t xml:space="preserve">Сведения о номерах записей реестров медицинских организаций, осуществляющих деятельность в сфере обязательного медицинского страхования, соответствующих медицинской организации</w:t>
            </w:r>
          </w:p>
        </w:tc>
        <w:tc>
          <w:tcPr>
            <w:tcW w:w="566" w:type="dxa"/>
          </w:tcPr>
          <w:p>
            <w:pPr>
              <w:pStyle w:val="0"/>
            </w:pPr>
            <w:r>
              <w:rPr>
                <w:sz w:val="24"/>
              </w:rPr>
              <w:t xml:space="preserve">26</w:t>
            </w:r>
          </w:p>
        </w:tc>
      </w:tr>
      <w:tr>
        <w:tc>
          <w:tcPr>
            <w:tcW w:w="8503" w:type="dxa"/>
          </w:tcPr>
          <w:p>
            <w:pPr>
              <w:pStyle w:val="0"/>
              <w:jc w:val="both"/>
            </w:pPr>
            <w:r>
              <w:rPr>
                <w:sz w:val="24"/>
              </w:rPr>
              <w:t xml:space="preserve">Даты включения медицинской организации в реестры медицинских организаций, осуществляющих деятельность в сфере обязательного медицинского страхования</w:t>
            </w:r>
          </w:p>
        </w:tc>
        <w:tc>
          <w:tcPr>
            <w:tcW w:w="566" w:type="dxa"/>
          </w:tcPr>
          <w:p>
            <w:pPr>
              <w:pStyle w:val="0"/>
            </w:pPr>
            <w:r>
              <w:rPr>
                <w:sz w:val="24"/>
              </w:rPr>
              <w:t xml:space="preserve">27</w:t>
            </w:r>
          </w:p>
        </w:tc>
      </w:tr>
      <w:tr>
        <w:tc>
          <w:tcPr>
            <w:tcW w:w="8503" w:type="dxa"/>
          </w:tcPr>
          <w:p>
            <w:pPr>
              <w:pStyle w:val="0"/>
              <w:jc w:val="both"/>
            </w:pPr>
            <w:r>
              <w:rPr>
                <w:sz w:val="24"/>
              </w:rPr>
              <w:t xml:space="preserve">Даты исключения медицинской организации из реестров медицинских организаций, осуществляющих деятельность в сфере обязательного медицинского страхования</w:t>
            </w:r>
          </w:p>
        </w:tc>
        <w:tc>
          <w:tcPr>
            <w:tcW w:w="566" w:type="dxa"/>
          </w:tcPr>
          <w:p>
            <w:pPr>
              <w:pStyle w:val="0"/>
            </w:pPr>
            <w:r>
              <w:rPr>
                <w:sz w:val="24"/>
              </w:rPr>
              <w:t xml:space="preserve">28</w:t>
            </w:r>
          </w:p>
        </w:tc>
      </w:tr>
      <w:tr>
        <w:tc>
          <w:tcPr>
            <w:tcW w:w="8503" w:type="dxa"/>
          </w:tcPr>
          <w:p>
            <w:pPr>
              <w:pStyle w:val="0"/>
              <w:jc w:val="both"/>
            </w:pPr>
            <w:r>
              <w:rPr>
                <w:sz w:val="24"/>
              </w:rPr>
              <w:t xml:space="preserve">Причины и основания исключения медицинской организации из реестров медицинских организаций, осуществляющих деятельность в сфере обязательного страхования</w:t>
            </w:r>
          </w:p>
        </w:tc>
        <w:tc>
          <w:tcPr>
            <w:tcW w:w="566" w:type="dxa"/>
          </w:tcPr>
          <w:p>
            <w:pPr>
              <w:pStyle w:val="0"/>
            </w:pPr>
            <w:r>
              <w:rPr>
                <w:sz w:val="24"/>
              </w:rPr>
              <w:t xml:space="preserve">29</w:t>
            </w:r>
          </w:p>
        </w:tc>
      </w:tr>
      <w:tr>
        <w:tc>
          <w:tcPr>
            <w:tcW w:w="8503" w:type="dxa"/>
          </w:tcPr>
          <w:p>
            <w:pPr>
              <w:pStyle w:val="0"/>
              <w:jc w:val="both"/>
            </w:pPr>
            <w:r>
              <w:rPr>
                <w:sz w:val="24"/>
              </w:rPr>
              <w:t xml:space="preserve">Сведения о договорах на оказание и оплату медицинской помощи по обязательному медицинскому страхованию, на оказание и оплату медицинской помощи в рамках базовой программы, заключенных с медицинской организацией</w:t>
            </w:r>
          </w:p>
        </w:tc>
        <w:tc>
          <w:tcPr>
            <w:tcW w:w="566" w:type="dxa"/>
          </w:tcPr>
          <w:p>
            <w:pPr>
              <w:pStyle w:val="0"/>
            </w:pPr>
            <w:r>
              <w:rPr>
                <w:sz w:val="24"/>
              </w:rPr>
              <w:t xml:space="preserve">30</w:t>
            </w:r>
          </w:p>
        </w:tc>
      </w:tr>
      <w:tr>
        <w:tc>
          <w:tcPr>
            <w:tcW w:w="8503" w:type="dxa"/>
          </w:tcPr>
          <w:p>
            <w:pPr>
              <w:pStyle w:val="0"/>
              <w:jc w:val="both"/>
            </w:pPr>
            <w:r>
              <w:rPr>
                <w:sz w:val="24"/>
              </w:rPr>
              <w:t xml:space="preserve">Сведения о видах, условиях и профилях медицинской помощи, оказываемой медицинской организацией в рамках реализации территориальных программ, и медицинской помощи, финансовое обеспечение которой осуществляется в соответствии с </w:t>
            </w:r>
            <w:hyperlink w:history="0" r:id="rId286" w:tooltip="Федеральный закон от 29.11.2010 N 326-ФЗ (ред. от 20.02.2026) &quot;Об обязательном медицинском страховании в Российской Федерации&quot; {КонсультантПлюс}">
              <w:r>
                <w:rPr>
                  <w:sz w:val="24"/>
                  <w:color w:val="0000ff"/>
                </w:rPr>
                <w:t xml:space="preserve">частью 11 статьи 5</w:t>
              </w:r>
            </w:hyperlink>
            <w:r>
              <w:rPr>
                <w:sz w:val="24"/>
              </w:rPr>
              <w:t xml:space="preserve"> Федерального закона</w:t>
            </w:r>
          </w:p>
        </w:tc>
        <w:tc>
          <w:tcPr>
            <w:tcW w:w="566" w:type="dxa"/>
          </w:tcPr>
          <w:p>
            <w:pPr>
              <w:pStyle w:val="0"/>
            </w:pPr>
            <w:r>
              <w:rPr>
                <w:sz w:val="24"/>
              </w:rPr>
              <w:t xml:space="preserve">31</w:t>
            </w:r>
          </w:p>
        </w:tc>
      </w:tr>
      <w:tr>
        <w:tc>
          <w:tcPr>
            <w:tcW w:w="8503" w:type="dxa"/>
          </w:tcPr>
          <w:p>
            <w:pPr>
              <w:pStyle w:val="0"/>
              <w:jc w:val="both"/>
            </w:pPr>
            <w:r>
              <w:rPr>
                <w:sz w:val="24"/>
              </w:rPr>
              <w:t xml:space="preserve">Сведения об объемах оказания медицинской помощи и о ее финансовом обеспечении, распределенных медицинской организации решениями Комиссий, в том числе в разрезе субъектов Российской Федерации и обособленных структурных подразделений медицинской организации (при наличии)</w:t>
            </w:r>
          </w:p>
        </w:tc>
        <w:tc>
          <w:tcPr>
            <w:tcW w:w="566" w:type="dxa"/>
          </w:tcPr>
          <w:p>
            <w:pPr>
              <w:pStyle w:val="0"/>
            </w:pPr>
            <w:r>
              <w:rPr>
                <w:sz w:val="24"/>
              </w:rPr>
              <w:t xml:space="preserve">32</w:t>
            </w:r>
          </w:p>
        </w:tc>
      </w:tr>
      <w:tr>
        <w:tc>
          <w:tcPr>
            <w:tcW w:w="8503" w:type="dxa"/>
          </w:tcPr>
          <w:p>
            <w:pPr>
              <w:pStyle w:val="0"/>
              <w:jc w:val="both"/>
            </w:pPr>
            <w:r>
              <w:rPr>
                <w:sz w:val="24"/>
              </w:rPr>
              <w:t xml:space="preserve">Сведения об объемах оказания медицинской помощи, финансовое обеспечение которой осуществляется в соответствии с </w:t>
            </w:r>
            <w:hyperlink w:history="0" r:id="rId287" w:tooltip="Федеральный закон от 29.11.2010 N 326-ФЗ (ред. от 20.02.2026) &quot;Об обязательном медицинском страховании в Российской Федерации&quot; {КонсультантПлюс}">
              <w:r>
                <w:rPr>
                  <w:sz w:val="24"/>
                  <w:color w:val="0000ff"/>
                </w:rPr>
                <w:t xml:space="preserve">частью 11 статьи 5</w:t>
              </w:r>
            </w:hyperlink>
            <w:r>
              <w:rPr>
                <w:sz w:val="24"/>
              </w:rPr>
              <w:t xml:space="preserve"> Федерального закона, распределенных (перераспределенных) медицинской организации в порядке, установленном Правительством Российской Федерации в соответствии с </w:t>
            </w:r>
            <w:hyperlink w:history="0" r:id="rId288" w:tooltip="Федеральный закон от 29.11.2010 N 326-ФЗ (ред. от 20.02.2026) &quot;Об обязательном медицинском страховании в Российской Федерации&quot; {КонсультантПлюс}">
              <w:r>
                <w:rPr>
                  <w:sz w:val="24"/>
                  <w:color w:val="0000ff"/>
                </w:rPr>
                <w:t xml:space="preserve">частью 3.2 статьи 35</w:t>
              </w:r>
            </w:hyperlink>
            <w:r>
              <w:rPr>
                <w:sz w:val="24"/>
              </w:rPr>
              <w:t xml:space="preserve"> Федерального закона</w:t>
            </w:r>
          </w:p>
        </w:tc>
        <w:tc>
          <w:tcPr>
            <w:tcW w:w="566" w:type="dxa"/>
          </w:tcPr>
          <w:p>
            <w:pPr>
              <w:pStyle w:val="0"/>
            </w:pPr>
            <w:r>
              <w:rPr>
                <w:sz w:val="24"/>
              </w:rPr>
              <w:t xml:space="preserve">33</w:t>
            </w:r>
          </w:p>
        </w:tc>
      </w:tr>
      <w:tr>
        <w:tc>
          <w:tcPr>
            <w:tcW w:w="8503" w:type="dxa"/>
          </w:tcPr>
          <w:p>
            <w:pPr>
              <w:pStyle w:val="0"/>
              <w:jc w:val="both"/>
            </w:pPr>
            <w:r>
              <w:rPr>
                <w:sz w:val="24"/>
              </w:rPr>
              <w:t xml:space="preserve">Сведения о способах оплаты медицинской помощи, установленных для медицинской организации в тарифных соглашениях субъектов Российской Федерации, в том числе в разрезе субъектов Российской Федерации и обособленных структурных подразделений медицинской организации (при наличии)</w:t>
            </w:r>
          </w:p>
        </w:tc>
        <w:tc>
          <w:tcPr>
            <w:tcW w:w="566" w:type="dxa"/>
          </w:tcPr>
          <w:p>
            <w:pPr>
              <w:pStyle w:val="0"/>
            </w:pPr>
            <w:r>
              <w:rPr>
                <w:sz w:val="24"/>
              </w:rPr>
              <w:t xml:space="preserve">34</w:t>
            </w:r>
          </w:p>
        </w:tc>
      </w:tr>
      <w:tr>
        <w:tc>
          <w:tcPr>
            <w:tcW w:w="8503" w:type="dxa"/>
          </w:tcPr>
          <w:p>
            <w:pPr>
              <w:pStyle w:val="0"/>
              <w:jc w:val="both"/>
            </w:pPr>
            <w:r>
              <w:rPr>
                <w:sz w:val="24"/>
              </w:rPr>
              <w:t xml:space="preserve">Сведения о тарифах на оплату медицинской помощи, а также элементах структуры тарифов на оплату медицинской помощи, установленных (или применяемых) для медицинской организации в тарифных соглашениях субъектов Российской Федерации, в том числе в разрезе обособленных структурных подразделений медицинской организации</w:t>
            </w:r>
          </w:p>
        </w:tc>
        <w:tc>
          <w:tcPr>
            <w:tcW w:w="566" w:type="dxa"/>
          </w:tcPr>
          <w:p>
            <w:pPr>
              <w:pStyle w:val="0"/>
            </w:pPr>
            <w:r>
              <w:rPr>
                <w:sz w:val="24"/>
              </w:rPr>
              <w:t xml:space="preserve">35</w:t>
            </w:r>
          </w:p>
        </w:tc>
      </w:tr>
      <w:tr>
        <w:tc>
          <w:tcPr>
            <w:tcW w:w="8503" w:type="dxa"/>
          </w:tcPr>
          <w:p>
            <w:pPr>
              <w:pStyle w:val="0"/>
              <w:jc w:val="both"/>
            </w:pPr>
            <w:r>
              <w:rPr>
                <w:sz w:val="24"/>
              </w:rPr>
              <w:t xml:space="preserve">Сведения о тарифах на оплату медицинской помощи, а также элементах структуры тарифов на оплату медицинской помощи, установленных (или применяемых) для медицинской организации в базовой программе обязательного медицинского страхования для оплаты медицинской помощи, финансовое обеспечение которой осуществляется в соответствии с </w:t>
            </w:r>
            <w:hyperlink w:history="0" r:id="rId289" w:tooltip="Федеральный закон от 29.11.2010 N 326-ФЗ (ред. от 20.02.2026) &quot;Об обязательном медицинском страховании в Российской Федерации&quot; {КонсультантПлюс}">
              <w:r>
                <w:rPr>
                  <w:sz w:val="24"/>
                  <w:color w:val="0000ff"/>
                </w:rPr>
                <w:t xml:space="preserve">частью 11 статьи 5</w:t>
              </w:r>
            </w:hyperlink>
            <w:r>
              <w:rPr>
                <w:sz w:val="24"/>
              </w:rPr>
              <w:t xml:space="preserve"> Федерального закона</w:t>
            </w:r>
          </w:p>
        </w:tc>
        <w:tc>
          <w:tcPr>
            <w:tcW w:w="566" w:type="dxa"/>
          </w:tcPr>
          <w:p>
            <w:pPr>
              <w:pStyle w:val="0"/>
            </w:pPr>
            <w:r>
              <w:rPr>
                <w:sz w:val="24"/>
              </w:rPr>
              <w:t xml:space="preserve">36</w:t>
            </w:r>
          </w:p>
        </w:tc>
      </w:tr>
      <w:tr>
        <w:tc>
          <w:tcPr>
            <w:tcW w:w="8503" w:type="dxa"/>
          </w:tcPr>
          <w:p>
            <w:pPr>
              <w:pStyle w:val="0"/>
              <w:jc w:val="both"/>
            </w:pPr>
            <w:r>
              <w:rPr>
                <w:sz w:val="24"/>
              </w:rPr>
              <w:t xml:space="preserve">Фактические показатели деятельности медицинской организации по исполнению территориальных программ обязательного медицинского страхования и (или) базовой программы обязательного медицинского страхования, в том числе в разрезе обособленных структурных подразделений медицинской организации</w:t>
            </w:r>
          </w:p>
        </w:tc>
        <w:tc>
          <w:tcPr>
            <w:tcW w:w="566" w:type="dxa"/>
          </w:tcPr>
          <w:p>
            <w:pPr>
              <w:pStyle w:val="0"/>
            </w:pPr>
            <w:r>
              <w:rPr>
                <w:sz w:val="24"/>
              </w:rPr>
              <w:t xml:space="preserve">37</w:t>
            </w:r>
          </w:p>
        </w:tc>
      </w:tr>
      <w:tr>
        <w:tc>
          <w:tcPr>
            <w:tcW w:w="8503" w:type="dxa"/>
          </w:tcPr>
          <w:p>
            <w:pPr>
              <w:pStyle w:val="0"/>
              <w:jc w:val="both"/>
            </w:pPr>
            <w:r>
              <w:rPr>
                <w:sz w:val="24"/>
              </w:rPr>
              <w:t xml:space="preserve">Дата исключения медицинской организации, оказывающей медицинскую помощь, финансовое обеспечение которой осуществляется в соответствии с </w:t>
            </w:r>
            <w:hyperlink w:history="0" r:id="rId290" w:tooltip="Федеральный закон от 29.11.2010 N 326-ФЗ (ред. от 20.02.2026) &quot;Об обязательном медицинском страховании в Российской Федерации&quot; {КонсультантПлюс}">
              <w:r>
                <w:rPr>
                  <w:sz w:val="24"/>
                  <w:color w:val="0000ff"/>
                </w:rPr>
                <w:t xml:space="preserve">частью 11 статьи 5</w:t>
              </w:r>
            </w:hyperlink>
            <w:r>
              <w:rPr>
                <w:sz w:val="24"/>
              </w:rPr>
              <w:t xml:space="preserve"> Федерального закона, на соответствующий год из единого реестра медицинских организаций, осуществляющих деятельность в сфере обязательного медицинского страхования, и причина ее исключения</w:t>
            </w:r>
          </w:p>
        </w:tc>
        <w:tc>
          <w:tcPr>
            <w:tcW w:w="566" w:type="dxa"/>
          </w:tcPr>
          <w:p>
            <w:pPr>
              <w:pStyle w:val="0"/>
            </w:pPr>
            <w:r>
              <w:rPr>
                <w:sz w:val="24"/>
              </w:rPr>
              <w:t xml:space="preserve">38</w:t>
            </w:r>
          </w:p>
        </w:tc>
      </w:tr>
    </w:tbl>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1"/>
        <w:jc w:val="right"/>
      </w:pPr>
      <w:r>
        <w:rPr>
          <w:sz w:val="24"/>
        </w:rPr>
        <w:t xml:space="preserve">Приложение N 5</w:t>
      </w:r>
    </w:p>
    <w:p>
      <w:pPr>
        <w:pStyle w:val="0"/>
        <w:jc w:val="right"/>
      </w:pPr>
      <w:r>
        <w:rPr>
          <w:sz w:val="24"/>
        </w:rPr>
        <w:t xml:space="preserve">к Правилам обязательного медицинского</w:t>
      </w:r>
    </w:p>
    <w:p>
      <w:pPr>
        <w:pStyle w:val="0"/>
        <w:jc w:val="right"/>
      </w:pPr>
      <w:r>
        <w:rPr>
          <w:sz w:val="24"/>
        </w:rPr>
        <w:t xml:space="preserve">страхования, утвержденным приказом</w:t>
      </w:r>
    </w:p>
    <w:p>
      <w:pPr>
        <w:pStyle w:val="0"/>
        <w:jc w:val="right"/>
      </w:pPr>
      <w:r>
        <w:rPr>
          <w:sz w:val="24"/>
        </w:rPr>
        <w:t xml:space="preserve">Министерства здравоохранения</w:t>
      </w:r>
    </w:p>
    <w:p>
      <w:pPr>
        <w:pStyle w:val="0"/>
        <w:jc w:val="right"/>
      </w:pPr>
      <w:r>
        <w:rPr>
          <w:sz w:val="24"/>
        </w:rPr>
        <w:t xml:space="preserve">Российской Федерации</w:t>
      </w:r>
    </w:p>
    <w:p>
      <w:pPr>
        <w:pStyle w:val="0"/>
        <w:jc w:val="right"/>
      </w:pPr>
      <w:r>
        <w:rPr>
          <w:sz w:val="24"/>
        </w:rPr>
        <w:t xml:space="preserve">от 21 августа 2025 г. N 496н</w:t>
      </w:r>
    </w:p>
    <w:p>
      <w:pPr>
        <w:pStyle w:val="0"/>
        <w:jc w:val="both"/>
      </w:pPr>
      <w:r>
        <w:rPr>
          <w:sz w:val="24"/>
        </w:rPr>
      </w:r>
    </w:p>
    <w:bookmarkStart w:id="2224" w:name="P2224"/>
    <w:bookmarkEnd w:id="2224"/>
    <w:p>
      <w:pPr>
        <w:pStyle w:val="2"/>
        <w:jc w:val="center"/>
      </w:pPr>
      <w:r>
        <w:rPr>
          <w:sz w:val="24"/>
        </w:rPr>
        <w:t xml:space="preserve">ПОЛОЖЕНИЕ</w:t>
      </w:r>
    </w:p>
    <w:p>
      <w:pPr>
        <w:pStyle w:val="2"/>
        <w:jc w:val="center"/>
      </w:pPr>
      <w:r>
        <w:rPr>
          <w:sz w:val="24"/>
        </w:rPr>
        <w:t xml:space="preserve">О ДЕЯТЕЛЬНОСТИ КОМИССИИ ПО РАЗРАБОТКЕ ТЕРРИТОРИАЛЬНОЙ</w:t>
      </w:r>
    </w:p>
    <w:p>
      <w:pPr>
        <w:pStyle w:val="2"/>
        <w:jc w:val="center"/>
      </w:pPr>
      <w:r>
        <w:rPr>
          <w:sz w:val="24"/>
        </w:rPr>
        <w:t xml:space="preserve">ПРОГРАММЫ ОБЯЗАТЕЛЬНОГО МЕДИЦИНСКОГО СТРАХОВАНИЯ</w:t>
      </w:r>
    </w:p>
    <w:p>
      <w:pPr>
        <w:pStyle w:val="0"/>
        <w:jc w:val="both"/>
      </w:pPr>
      <w:r>
        <w:rPr>
          <w:sz w:val="24"/>
        </w:rPr>
      </w:r>
    </w:p>
    <w:p>
      <w:pPr>
        <w:pStyle w:val="0"/>
        <w:ind w:firstLine="540"/>
        <w:jc w:val="both"/>
      </w:pPr>
      <w:r>
        <w:rPr>
          <w:sz w:val="24"/>
        </w:rPr>
        <w:t xml:space="preserve">1. Комиссия по разработке территориальной программы обязательного медицинского страхования (далее - Комиссия) создается в субъекте Российской Федерации в соответствии с законодательством Российской Федерации в сфере обязательного медицинского страхования.</w:t>
      </w:r>
    </w:p>
    <w:p>
      <w:pPr>
        <w:pStyle w:val="0"/>
        <w:spacing w:before="240" w:lineRule="auto"/>
        <w:ind w:firstLine="540"/>
        <w:jc w:val="both"/>
      </w:pPr>
      <w:r>
        <w:rPr>
          <w:sz w:val="24"/>
        </w:rPr>
        <w:t xml:space="preserve">2. Комиссия в своей деятельности руководствуется </w:t>
      </w:r>
      <w:hyperlink w:history="0" r:id="rId291"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4"/>
            <w:color w:val="0000ff"/>
          </w:rPr>
          <w:t xml:space="preserve">Конституцией</w:t>
        </w:r>
      </w:hyperlink>
      <w:r>
        <w:rPr>
          <w:sz w:val="24"/>
        </w:rPr>
        <w:t xml:space="preserve"> Российской Федерации, федеральными законами, указами и распоряжениями Президента Российской Федерации, постановлениями и распоряжениями Правительства Российской Федерации и другими нормативными правовыми актами в сфере здравоохранения и обязательного медицинского страхования Российской Федерации и субъекта Российской Федерации, а также настоящими Правилами.</w:t>
      </w:r>
    </w:p>
    <w:p>
      <w:pPr>
        <w:pStyle w:val="0"/>
        <w:spacing w:before="240" w:lineRule="auto"/>
        <w:ind w:firstLine="540"/>
        <w:jc w:val="both"/>
      </w:pPr>
      <w:r>
        <w:rPr>
          <w:sz w:val="24"/>
        </w:rPr>
        <w:t xml:space="preserve">3. В состав Комиссии на паритетных началах входят представители органа исполнительной власти субъекта Российской Федерации, уполномоченного высшим исполнительным органом государственной власти субъекта Российской Федерации, территориального фонда обязательного медицинского страхования (далее - территориальный фонд), страховых медицинских организаций и медицинских организаций, представители медицинских профессиональных некоммерческих организаций или их ассоциаций (союзов) и профессиональных союзов медицинских работников или их объединений (ассоциаций), осуществляющих деятельность на территории субъекта Российской Федерации.</w:t>
      </w:r>
    </w:p>
    <w:p>
      <w:pPr>
        <w:pStyle w:val="0"/>
        <w:spacing w:before="240" w:lineRule="auto"/>
        <w:ind w:firstLine="540"/>
        <w:jc w:val="both"/>
      </w:pPr>
      <w:r>
        <w:rPr>
          <w:sz w:val="24"/>
        </w:rPr>
        <w:t xml:space="preserve">4. В рамках деятельности Комиссия выполняет следующие функции:</w:t>
      </w:r>
    </w:p>
    <w:p>
      <w:pPr>
        <w:pStyle w:val="0"/>
        <w:spacing w:before="240" w:lineRule="auto"/>
        <w:ind w:firstLine="540"/>
        <w:jc w:val="both"/>
      </w:pPr>
      <w:r>
        <w:rPr>
          <w:sz w:val="24"/>
        </w:rPr>
        <w:t xml:space="preserve">1) разрабатывает проект территориальной программы обязательного медицинского страхования субъекта Российской Федерации (далее - территориальная программа);</w:t>
      </w:r>
    </w:p>
    <w:p>
      <w:pPr>
        <w:pStyle w:val="0"/>
        <w:spacing w:before="240" w:lineRule="auto"/>
        <w:ind w:firstLine="540"/>
        <w:jc w:val="both"/>
      </w:pPr>
      <w:r>
        <w:rPr>
          <w:sz w:val="24"/>
        </w:rPr>
        <w:t xml:space="preserve">2) разрабатывает и устанавливает показатели эффективности деятельности медицинских организаций, позволяющие провести оценку возможности реализации заявленных медицинской организацией объемов медицинской помощи;</w:t>
      </w:r>
    </w:p>
    <w:p>
      <w:pPr>
        <w:pStyle w:val="0"/>
        <w:spacing w:before="240" w:lineRule="auto"/>
        <w:ind w:firstLine="540"/>
        <w:jc w:val="both"/>
      </w:pPr>
      <w:r>
        <w:rPr>
          <w:sz w:val="24"/>
        </w:rPr>
        <w:t xml:space="preserve">3) распределяет на отчетный год и перераспределяет в течение года объемы предоставления и финансового обеспечения медицинской помощи между медицинскими организациями, включенными в реестр медицинских организаций, осуществляющих деятельность в сфере обязательного медицинского страхования по территориальной программе (далее - реестр медицинских организаций), в пределах и на основе установленных территориальной программой объемов предоставления медицинской помощи, до 1 января года, на который осуществляется распределение объемов медицинской помощи, с учетом результатов контроля объемов, сроков, качества и условий предоставления медицинской помощи по обязательному медицинскому страхованию застрахованным лицам, а также ее финансового обеспечения &lt;1&gt; (далее - контроль объемов, сроков, качества и условий предоставления медицинской помощи) в динамике до трех лет (за исключением медицинских организаций, впервые включенных в реестр медицинских организаций в году, на который формируется территориальная программа);</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&lt;1&gt; </w:t>
      </w:r>
      <w:hyperlink w:history="0" r:id="rId292" w:tooltip="Федеральный закон от 29.11.2010 N 326-ФЗ (ред. от 20.02.2026) &quot;Об обязательном медицинском страховании в Российской Федерации&quot; {КонсультантПлюс}">
        <w:r>
          <w:rPr>
            <w:sz w:val="24"/>
            <w:color w:val="0000ff"/>
          </w:rPr>
          <w:t xml:space="preserve">Часть 1 статьи 40</w:t>
        </w:r>
      </w:hyperlink>
      <w:r>
        <w:rPr>
          <w:sz w:val="24"/>
        </w:rPr>
        <w:t xml:space="preserve"> Федерального закона от 29 ноября 2010 г. N 326-ФЗ "Об обязательном медицинском страховании в Российской Федерации" (далее - Федеральный закон).</w:t>
      </w:r>
    </w:p>
    <w:p>
      <w:pPr>
        <w:pStyle w:val="0"/>
        <w:jc w:val="both"/>
      </w:pPr>
      <w:r>
        <w:rPr>
          <w:sz w:val="24"/>
        </w:rPr>
      </w:r>
    </w:p>
    <w:p>
      <w:pPr>
        <w:pStyle w:val="0"/>
        <w:ind w:firstLine="540"/>
        <w:jc w:val="both"/>
      </w:pPr>
      <w:r>
        <w:rPr>
          <w:sz w:val="24"/>
        </w:rPr>
        <w:t xml:space="preserve">4) рассматривает предложения медицинских организаций о перераспределении объемов предоставления и финансового обеспечения медицинской помощи в случае превышения объемов предоставления и финансового обеспечения медицинской помощи, распределенных медицинской организации решением Комиссии;</w:t>
      </w:r>
    </w:p>
    <w:p>
      <w:pPr>
        <w:pStyle w:val="0"/>
        <w:spacing w:before="240" w:lineRule="auto"/>
        <w:ind w:firstLine="540"/>
        <w:jc w:val="both"/>
      </w:pPr>
      <w:r>
        <w:rPr>
          <w:sz w:val="24"/>
        </w:rPr>
        <w:t xml:space="preserve">5) не реже одного раза в квартал осуществляет оценку исполнения медицинскими организациями распределенных объемов медицинской помощи, проводит анализ остатков средств обязательного медицинского страхования на счетах медицинских организаций, участвующих в реализации территориальной программы;</w:t>
      </w:r>
    </w:p>
    <w:p>
      <w:pPr>
        <w:pStyle w:val="0"/>
        <w:spacing w:before="240" w:lineRule="auto"/>
        <w:ind w:firstLine="540"/>
        <w:jc w:val="both"/>
      </w:pPr>
      <w:r>
        <w:rPr>
          <w:sz w:val="24"/>
        </w:rPr>
        <w:t xml:space="preserve">6) по результатам проведенной оценки и анализа в целях обеспечения доступности для застрахованных лиц медицинской помощи и недопущения формирования у медицинских организаций кредиторской задолженности осуществляет при необходимости перераспределение объемов медицинской помощи, а также принимает иные решения в соответствии с законодательством Российской Федерации;</w:t>
      </w:r>
    </w:p>
    <w:p>
      <w:pPr>
        <w:pStyle w:val="0"/>
        <w:spacing w:before="240" w:lineRule="auto"/>
        <w:ind w:firstLine="540"/>
        <w:jc w:val="both"/>
      </w:pPr>
      <w:r>
        <w:rPr>
          <w:sz w:val="24"/>
        </w:rPr>
        <w:t xml:space="preserve">7) устанавливает тарифы на оказание медицинской помощи и формирует тарифное соглашение в соответствии с </w:t>
      </w:r>
      <w:hyperlink w:history="0" r:id="rId293" w:tooltip="Приказ Минздрава России от 10.02.2023 N 44н (ред. от 06.05.2026) &quot;Об утверждении Требований к структуре и содержанию тарифного соглашения&quot; (Зарегистрировано в Минюсте России 04.05.2023 N 73226) {КонсультантПлюс}">
        <w:r>
          <w:rPr>
            <w:sz w:val="24"/>
            <w:color w:val="0000ff"/>
          </w:rPr>
          <w:t xml:space="preserve">требованиями</w:t>
        </w:r>
      </w:hyperlink>
      <w:r>
        <w:rPr>
          <w:sz w:val="24"/>
        </w:rPr>
        <w:t xml:space="preserve"> к структуре и содержанию тарифного соглашения, установленных уполномоченным федеральным органом исполнительной власти &lt;2&gt;;</w:t>
      </w:r>
    </w:p>
    <w:p>
      <w:pPr>
        <w:pStyle w:val="0"/>
        <w:spacing w:before="240" w:lineRule="auto"/>
        <w:ind w:firstLine="540"/>
        <w:jc w:val="both"/>
      </w:pPr>
      <w:r>
        <w:rPr>
          <w:sz w:val="24"/>
        </w:rPr>
        <w:t xml:space="preserve">--------------------------------</w:t>
      </w:r>
    </w:p>
    <w:p>
      <w:pPr>
        <w:pStyle w:val="0"/>
        <w:spacing w:before="240" w:lineRule="auto"/>
        <w:ind w:firstLine="540"/>
        <w:jc w:val="both"/>
      </w:pPr>
      <w:r>
        <w:rPr>
          <w:sz w:val="24"/>
        </w:rPr>
        <w:t xml:space="preserve">&lt;2&gt; </w:t>
      </w:r>
      <w:hyperlink w:history="0" r:id="rId294" w:tooltip="Федеральный закон от 29.11.2010 N 326-ФЗ (ред. от 20.02.2026) &quot;Об обязательном медицинском страховании в Российской Федерации&quot; {КонсультантПлюс}">
        <w:r>
          <w:rPr>
            <w:sz w:val="24"/>
            <w:color w:val="0000ff"/>
          </w:rPr>
          <w:t xml:space="preserve">Часть 2 статьи 30</w:t>
        </w:r>
      </w:hyperlink>
      <w:r>
        <w:rPr>
          <w:sz w:val="24"/>
        </w:rPr>
        <w:t xml:space="preserve"> Федерального закона.</w:t>
      </w:r>
    </w:p>
    <w:p>
      <w:pPr>
        <w:pStyle w:val="0"/>
        <w:jc w:val="both"/>
      </w:pPr>
      <w:r>
        <w:rPr>
          <w:sz w:val="24"/>
        </w:rPr>
      </w:r>
    </w:p>
    <w:p>
      <w:pPr>
        <w:pStyle w:val="0"/>
        <w:ind w:firstLine="540"/>
        <w:jc w:val="both"/>
      </w:pPr>
      <w:r>
        <w:rPr>
          <w:sz w:val="24"/>
        </w:rPr>
        <w:t xml:space="preserve">8) устанавливает иные сроки направления уведомления о включении медицинской организации государственной системы здравоохранения или муниципальной системы здравоохранения в реестр медицинских организаций и заявления о включении медицинской организации частной системы здравоохранения в реестр медицинских организаций вновь создаваемыми медицинскими организациями;</w:t>
      </w:r>
    </w:p>
    <w:p>
      <w:pPr>
        <w:pStyle w:val="0"/>
        <w:spacing w:before="240" w:lineRule="auto"/>
        <w:ind w:firstLine="540"/>
        <w:jc w:val="both"/>
      </w:pPr>
      <w:r>
        <w:rPr>
          <w:sz w:val="24"/>
        </w:rPr>
        <w:t xml:space="preserve">9) определяет порядок представления информации членами Комиссии;</w:t>
      </w:r>
    </w:p>
    <w:p>
      <w:pPr>
        <w:pStyle w:val="0"/>
        <w:spacing w:before="240" w:lineRule="auto"/>
        <w:ind w:firstLine="540"/>
        <w:jc w:val="both"/>
      </w:pPr>
      <w:r>
        <w:rPr>
          <w:sz w:val="24"/>
        </w:rPr>
        <w:t xml:space="preserve">10) выполняет иные функции, предусмотренные законодательством Российской Федерации.</w:t>
      </w:r>
    </w:p>
    <w:p>
      <w:pPr>
        <w:pStyle w:val="0"/>
        <w:spacing w:before="240" w:lineRule="auto"/>
        <w:ind w:firstLine="540"/>
        <w:jc w:val="both"/>
      </w:pPr>
      <w:r>
        <w:rPr>
          <w:sz w:val="24"/>
        </w:rPr>
        <w:t xml:space="preserve">5. В целях разработки проекта территориальной программы Комиссия на заседаниях:</w:t>
      </w:r>
    </w:p>
    <w:p>
      <w:pPr>
        <w:pStyle w:val="0"/>
        <w:spacing w:before="240" w:lineRule="auto"/>
        <w:ind w:firstLine="540"/>
        <w:jc w:val="both"/>
      </w:pPr>
      <w:r>
        <w:rPr>
          <w:sz w:val="24"/>
        </w:rPr>
        <w:t xml:space="preserve">1) рассматривает информацию:</w:t>
      </w:r>
    </w:p>
    <w:p>
      <w:pPr>
        <w:pStyle w:val="0"/>
        <w:spacing w:before="240" w:lineRule="auto"/>
        <w:ind w:firstLine="540"/>
        <w:jc w:val="both"/>
      </w:pPr>
      <w:r>
        <w:rPr>
          <w:sz w:val="24"/>
        </w:rPr>
        <w:t xml:space="preserve">исполнительного органа государственной власти субъекта Российской Федерации в сфере охраны здоровья по объемам медицинской помощи, требуемым для предоставления застрахованным лицам на предстоящий год;</w:t>
      </w:r>
    </w:p>
    <w:p>
      <w:pPr>
        <w:pStyle w:val="0"/>
        <w:spacing w:before="240" w:lineRule="auto"/>
        <w:ind w:firstLine="540"/>
        <w:jc w:val="both"/>
      </w:pPr>
      <w:r>
        <w:rPr>
          <w:sz w:val="24"/>
        </w:rPr>
        <w:t xml:space="preserve">территориального фонда о численности застрахованных лиц в субъекте Российской Федерации в разрезе половозрастных групп на основе регионального сегмента единого регистра застрахованных лиц, реестра страховых медицинских организаций, включенных в реестр медицинских организаций медицинских организаций государственной системы здравоохранения или муниципальной системы здравоохранения, включенных на основании уведомления об осуществлении деятельности в сфере обязательного медицинского страхования, принятые к рассмотрению территориальным фондом заявления медицинских организаций частной системы здравоохранения о включении в реестр медицинских организаций;</w:t>
      </w:r>
    </w:p>
    <w:p>
      <w:pPr>
        <w:pStyle w:val="0"/>
        <w:spacing w:before="240" w:lineRule="auto"/>
        <w:ind w:firstLine="540"/>
        <w:jc w:val="both"/>
      </w:pPr>
      <w:r>
        <w:rPr>
          <w:sz w:val="24"/>
        </w:rPr>
        <w:t xml:space="preserve">2) рассматривает предложения исполнительного органа государственной власти субъекта Российской Федерации в сфере охраны здоровья, территориального фонда, страховых медицинских организаций и медицинских организаций по:</w:t>
      </w:r>
    </w:p>
    <w:p>
      <w:pPr>
        <w:pStyle w:val="0"/>
        <w:spacing w:before="240" w:lineRule="auto"/>
        <w:ind w:firstLine="540"/>
        <w:jc w:val="both"/>
      </w:pPr>
      <w:r>
        <w:rPr>
          <w:sz w:val="24"/>
        </w:rPr>
        <w:t xml:space="preserve">видам медицинской помощи, перечню заболеваний, порядку и условиям предоставления медицинской помощи, включая сроки ожидания медицинской помощи, значениям нормативов объемов предоставления медицинской помощи в на одно застрахованное лицо с учетом объемов медицинской помощи, оказываемых застрахованным лицам медицинскими организациями в других субъектах Российской Федерации, нормативам финансовых затрат на единицу объема предоставления медицинской помощи в расчете на одно застрахованное лицо, нормативам финансового обеспечения территориальной программы в расчете на одно застрахованное лицо, способам оплаты медицинской помощи и тарифам в соответствии с требованиями, установленными базовой программой и в дополнение к базовой программе;</w:t>
      </w:r>
    </w:p>
    <w:p>
      <w:pPr>
        <w:pStyle w:val="0"/>
        <w:spacing w:before="240" w:lineRule="auto"/>
        <w:ind w:firstLine="540"/>
        <w:jc w:val="both"/>
      </w:pPr>
      <w:r>
        <w:rPr>
          <w:sz w:val="24"/>
        </w:rPr>
        <w:t xml:space="preserve">целевым значениям критериев доступности и качества медицинской помощи;</w:t>
      </w:r>
    </w:p>
    <w:p>
      <w:pPr>
        <w:pStyle w:val="0"/>
        <w:spacing w:before="240" w:lineRule="auto"/>
        <w:ind w:firstLine="540"/>
        <w:jc w:val="both"/>
      </w:pPr>
      <w:r>
        <w:rPr>
          <w:sz w:val="24"/>
        </w:rPr>
        <w:t xml:space="preserve">перечню направлений использования средств обязательного медицинского страхования при установлении дополнительного объема страхового обеспечения по страховым случаям, установленным базовой программой;</w:t>
      </w:r>
    </w:p>
    <w:p>
      <w:pPr>
        <w:pStyle w:val="0"/>
        <w:spacing w:before="240" w:lineRule="auto"/>
        <w:ind w:firstLine="540"/>
        <w:jc w:val="both"/>
      </w:pPr>
      <w:r>
        <w:rPr>
          <w:sz w:val="24"/>
        </w:rPr>
        <w:t xml:space="preserve">участию медицинских организаций в реализации территориальной программы в части заявленных объемов оказания медицинской помощи, с учетом показателей эффективности деятельности медицинских организаций;</w:t>
      </w:r>
    </w:p>
    <w:p>
      <w:pPr>
        <w:pStyle w:val="0"/>
        <w:spacing w:before="240" w:lineRule="auto"/>
        <w:ind w:firstLine="540"/>
        <w:jc w:val="both"/>
      </w:pPr>
      <w:r>
        <w:rPr>
          <w:sz w:val="24"/>
        </w:rPr>
        <w:t xml:space="preserve">3) анализирует соответствие показателей объемов предоставления медицинской помощи и нормативов финансовых затрат на единицу объема предоставления медицинской помощи, установленных территориальной программой и базовой программой;</w:t>
      </w:r>
    </w:p>
    <w:p>
      <w:pPr>
        <w:pStyle w:val="0"/>
        <w:spacing w:before="240" w:lineRule="auto"/>
        <w:ind w:firstLine="540"/>
        <w:jc w:val="both"/>
      </w:pPr>
      <w:r>
        <w:rPr>
          <w:sz w:val="24"/>
        </w:rPr>
        <w:t xml:space="preserve">6. При разработке проекта территориальной программы Комиссией учитываются </w:t>
      </w:r>
      <w:hyperlink w:history="0" r:id="rId295" w:tooltip="Справочная информация: &quot;Стандарты и порядки оказания медицинской помощи&quot; (Материал подготовлен специалистами КонсультантПлюс) {КонсультантПлюс}">
        <w:r>
          <w:rPr>
            <w:sz w:val="24"/>
            <w:color w:val="0000ff"/>
          </w:rPr>
          <w:t xml:space="preserve">порядки</w:t>
        </w:r>
      </w:hyperlink>
      <w:r>
        <w:rPr>
          <w:sz w:val="24"/>
        </w:rPr>
        <w:t xml:space="preserve"> оказания медицинской помощи, </w:t>
      </w:r>
      <w:hyperlink w:history="0" r:id="rId296" w:tooltip="Справочная информация: &quot;Клинические рекомендации&quot; (Материал подготовлен специалистами КонсультантПлюс) {КонсультантПлюс}">
        <w:r>
          <w:rPr>
            <w:sz w:val="24"/>
            <w:color w:val="0000ff"/>
          </w:rPr>
          <w:t xml:space="preserve">клинические рекомендации</w:t>
        </w:r>
      </w:hyperlink>
      <w:r>
        <w:rPr>
          <w:sz w:val="24"/>
        </w:rPr>
        <w:t xml:space="preserve">, </w:t>
      </w:r>
      <w:hyperlink w:history="0" r:id="rId297" w:tooltip="Справочная информация: &quot;Стандарты и порядки оказания медицинской помощи&quot; (Материал подготовлен специалистами КонсультантПлюс) {КонсультантПлюс}">
        <w:r>
          <w:rPr>
            <w:sz w:val="24"/>
            <w:color w:val="0000ff"/>
          </w:rPr>
          <w:t xml:space="preserve">стандарты</w:t>
        </w:r>
      </w:hyperlink>
      <w:r>
        <w:rPr>
          <w:sz w:val="24"/>
        </w:rPr>
        <w:t xml:space="preserve"> медицинской помощи, особенности половозрастного состава застрахованных лиц, уровень и структура заболеваемости населения субъекта Российской Федерации по данным медицинской статистики, климатические, географические особенности субъекта Российской Федерации, транспортная доступность медицинских организаций, сбалансированность объема медицинской помощи и ее финансового обеспечения.</w:t>
      </w:r>
    </w:p>
    <w:p>
      <w:pPr>
        <w:pStyle w:val="0"/>
        <w:spacing w:before="240" w:lineRule="auto"/>
        <w:ind w:firstLine="540"/>
        <w:jc w:val="both"/>
      </w:pPr>
      <w:r>
        <w:rPr>
          <w:sz w:val="24"/>
        </w:rPr>
        <w:t xml:space="preserve">7. Подготовленный проект территориальной программы Комиссия представляет исполнительному органу государственной власти субъекта Российской Федерации в сфере охраны здоровья и территориальному фонду.</w:t>
      </w:r>
    </w:p>
    <w:p>
      <w:pPr>
        <w:pStyle w:val="0"/>
        <w:spacing w:before="240" w:lineRule="auto"/>
        <w:ind w:firstLine="540"/>
        <w:jc w:val="both"/>
      </w:pPr>
      <w:r>
        <w:rPr>
          <w:sz w:val="24"/>
        </w:rPr>
        <w:t xml:space="preserve">8. Распределение и перераспределение объемов медицинской помощи Комиссия осуществляет:</w:t>
      </w:r>
    </w:p>
    <w:p>
      <w:pPr>
        <w:pStyle w:val="0"/>
        <w:spacing w:before="240" w:lineRule="auto"/>
        <w:ind w:firstLine="540"/>
        <w:jc w:val="both"/>
      </w:pPr>
      <w:r>
        <w:rPr>
          <w:sz w:val="24"/>
        </w:rPr>
        <w:t xml:space="preserve">1) по видам и условиям предоставления медицинской помощи, а также применяемым способам оплаты медицинской помощи;</w:t>
      </w:r>
    </w:p>
    <w:p>
      <w:pPr>
        <w:pStyle w:val="0"/>
        <w:spacing w:before="240" w:lineRule="auto"/>
        <w:ind w:firstLine="540"/>
        <w:jc w:val="both"/>
      </w:pPr>
      <w:r>
        <w:rPr>
          <w:sz w:val="24"/>
        </w:rPr>
        <w:t xml:space="preserve">2) в разрезе профилей медицинской помощи, и при решении Комиссии в разрезе заболеваний и состояний (групп заболеваний и состояний), групп и видов высокотехнологичной медицинской помощи;</w:t>
      </w:r>
    </w:p>
    <w:p>
      <w:pPr>
        <w:pStyle w:val="0"/>
        <w:spacing w:before="240" w:lineRule="auto"/>
        <w:ind w:firstLine="540"/>
        <w:jc w:val="both"/>
      </w:pPr>
      <w:r>
        <w:rPr>
          <w:sz w:val="24"/>
        </w:rPr>
        <w:t xml:space="preserve">3) в разрезе медицинской помощи в случае установления в тарифном соглашении по отдельным видам медицинской помощи возможности использования только способа оплаты медицинской помощи "за единицу объема медицинской помощи";</w:t>
      </w:r>
    </w:p>
    <w:p>
      <w:pPr>
        <w:pStyle w:val="0"/>
        <w:spacing w:before="240" w:lineRule="auto"/>
        <w:ind w:firstLine="540"/>
        <w:jc w:val="both"/>
      </w:pPr>
      <w:r>
        <w:rPr>
          <w:sz w:val="24"/>
        </w:rPr>
        <w:t xml:space="preserve">4) с учетом показателей потребления медицинской помощи по данным персонифицированного учета сведений о медицинской помощи, оказанной застрахованным лицам, количества прикрепленных застрахованных лиц к медицинским организациям, оказывающим медицинскую помощь в амбулаторных условиях, численности и половозрастной структуры застрахованных лиц, а также с учетом результатов контроля объемов, сроков, качества и условий предоставления медицинской помощи в динамике до трех лет (за исключением медицинских организаций, впервые включенных в реестр медицинских организаций, осуществляющих деятельность в сфере обязательного медицинского страхования в году, на который формируется территориальная программа обязательного медицинского страхования).</w:t>
      </w:r>
    </w:p>
    <w:p>
      <w:pPr>
        <w:pStyle w:val="0"/>
        <w:spacing w:before="240" w:lineRule="auto"/>
        <w:ind w:firstLine="540"/>
        <w:jc w:val="both"/>
      </w:pPr>
      <w:r>
        <w:rPr>
          <w:sz w:val="24"/>
        </w:rPr>
        <w:t xml:space="preserve">9. Распределение и перераспределение объемов финансового обеспечения медицинской помощи осуществляется:</w:t>
      </w:r>
    </w:p>
    <w:p>
      <w:pPr>
        <w:pStyle w:val="0"/>
        <w:spacing w:before="240" w:lineRule="auto"/>
        <w:ind w:firstLine="540"/>
        <w:jc w:val="both"/>
      </w:pPr>
      <w:r>
        <w:rPr>
          <w:sz w:val="24"/>
        </w:rPr>
        <w:t xml:space="preserve">1) по видам и условиям предоставления медицинской помощи, а также применяемым способам оплаты медицинской помощи;</w:t>
      </w:r>
    </w:p>
    <w:p>
      <w:pPr>
        <w:pStyle w:val="0"/>
        <w:spacing w:before="240" w:lineRule="auto"/>
        <w:ind w:firstLine="540"/>
        <w:jc w:val="both"/>
      </w:pPr>
      <w:r>
        <w:rPr>
          <w:sz w:val="24"/>
        </w:rPr>
        <w:t xml:space="preserve">2) в разрезе профилей медицинской помощи, и в случае распределения объемов предоставления медицинской помощи в разрезе заболеваний и состояний (групп заболеваний и состояний), групп и видов высокотехнологичной медицинской помощи - в разрезе заболеваний и состояний (групп заболеваний и состояний), групп и видов высокотехнологичной медицинской помощи;</w:t>
      </w:r>
    </w:p>
    <w:p>
      <w:pPr>
        <w:pStyle w:val="0"/>
        <w:spacing w:before="240" w:lineRule="auto"/>
        <w:ind w:firstLine="540"/>
        <w:jc w:val="both"/>
      </w:pPr>
      <w:r>
        <w:rPr>
          <w:sz w:val="24"/>
        </w:rPr>
        <w:t xml:space="preserve">3) в разрезе медицинской помощи в случае установления в тарифном соглашении по отдельным видам медицинской помощи возможности использования только способа оплаты медицинской помощи "за единицу объема медицинской помощи";</w:t>
      </w:r>
    </w:p>
    <w:p>
      <w:pPr>
        <w:pStyle w:val="0"/>
        <w:spacing w:before="240" w:lineRule="auto"/>
        <w:ind w:firstLine="540"/>
        <w:jc w:val="both"/>
      </w:pPr>
      <w:r>
        <w:rPr>
          <w:sz w:val="24"/>
        </w:rPr>
        <w:t xml:space="preserve">4) с учетом распределения (перераспределения) объемов предоставления медицинской помощи между медицинскими организациями, в том числе исходя из результатов контроля объемов, сроков, качества и условий предоставления медицинской помощи в динамике до трех лет (за исключением медицинских организаций, впервые включенных в реестр медицинских организаций, осуществляющих деятельность в сфере обязательного медицинского страхования в году, на который формируется территориальная программа обязательного медицинского страхования), способов оплаты медицинской помощи и тарифов на оплату медицинской помощи, установленных и применяемых для оплаты медицинской помощи, оказанной медицинской организацией, в соответствии с тарифным соглашением.</w:t>
      </w:r>
    </w:p>
    <w:p>
      <w:pPr>
        <w:pStyle w:val="0"/>
        <w:spacing w:before="240" w:lineRule="auto"/>
        <w:ind w:firstLine="540"/>
        <w:jc w:val="both"/>
      </w:pPr>
      <w:r>
        <w:rPr>
          <w:sz w:val="24"/>
        </w:rPr>
        <w:t xml:space="preserve">10. При распределении и перераспределении объемов медицинской помощи учитываются:</w:t>
      </w:r>
    </w:p>
    <w:p>
      <w:pPr>
        <w:pStyle w:val="0"/>
        <w:spacing w:before="240" w:lineRule="auto"/>
        <w:ind w:firstLine="540"/>
        <w:jc w:val="both"/>
      </w:pPr>
      <w:r>
        <w:rPr>
          <w:sz w:val="24"/>
        </w:rPr>
        <w:t xml:space="preserve">1) порядок организации медицинской помощи в субъекте Российской Федерации с учетом этапов оказания медицинской помощи, уровня и структуры заболеваемости, особенностей половозрастного состава и плотности населения, транспортной доступности, климатических и географических особенностей региона, а также сроков ожидания оказания медицинской помощи;</w:t>
      </w:r>
    </w:p>
    <w:p>
      <w:pPr>
        <w:pStyle w:val="0"/>
        <w:spacing w:before="240" w:lineRule="auto"/>
        <w:ind w:firstLine="540"/>
        <w:jc w:val="both"/>
      </w:pPr>
      <w:r>
        <w:rPr>
          <w:sz w:val="24"/>
        </w:rPr>
        <w:t xml:space="preserve">2) сведения медицинских организаций, указанные медицинскими организациями государственной системы здравоохранения или муниципальной системы здравоохранения в уведомлении об осуществлении деятельности в сфере обязательного медицинского страхования, а также в принятых к рассмотрению территориальным фондом заявлениях о включении в реестр медицинских организаций частной системы здравоохранения;</w:t>
      </w:r>
    </w:p>
    <w:p>
      <w:pPr>
        <w:pStyle w:val="0"/>
        <w:spacing w:before="240" w:lineRule="auto"/>
        <w:ind w:firstLine="540"/>
        <w:jc w:val="both"/>
      </w:pPr>
      <w:r>
        <w:rPr>
          <w:sz w:val="24"/>
        </w:rPr>
        <w:t xml:space="preserve">3) соответствие заявленных медицинскими организациями объемов медицинской помощи перечню работ и услуг, включенных в лицензию на осуществление медицинской деятельности;</w:t>
      </w:r>
    </w:p>
    <w:p>
      <w:pPr>
        <w:pStyle w:val="0"/>
        <w:spacing w:before="240" w:lineRule="auto"/>
        <w:ind w:firstLine="540"/>
        <w:jc w:val="both"/>
      </w:pPr>
      <w:r>
        <w:rPr>
          <w:sz w:val="24"/>
        </w:rPr>
        <w:t xml:space="preserve">4) соответствие объемов медицинской помощи, заявленных медицинскими организациями государственной системы здравоохранения или муниципальной системы здравоохранения при подаче уведомлений об осуществлении деятельности в сфере обязательного медицинского страхования, а также в принятых к рассмотрению территориальным фондом заявлениях о включении в реестр медицинских организаций частной системы здравоохранения, мощности коечного фонда, наличию соответствующего медицинского оборудования, медицинских работников соответствующих специальностей и других;</w:t>
      </w:r>
    </w:p>
    <w:p>
      <w:pPr>
        <w:pStyle w:val="0"/>
        <w:spacing w:before="240" w:lineRule="auto"/>
        <w:ind w:firstLine="540"/>
        <w:jc w:val="both"/>
      </w:pPr>
      <w:r>
        <w:rPr>
          <w:sz w:val="24"/>
        </w:rPr>
        <w:t xml:space="preserve">5) соответствие деятельности медицинских организаций требованиям порядков оказания медицинской помощи;</w:t>
      </w:r>
    </w:p>
    <w:p>
      <w:pPr>
        <w:pStyle w:val="0"/>
        <w:spacing w:before="240" w:lineRule="auto"/>
        <w:ind w:firstLine="540"/>
        <w:jc w:val="both"/>
      </w:pPr>
      <w:r>
        <w:rPr>
          <w:sz w:val="24"/>
        </w:rPr>
        <w:t xml:space="preserve">6) результаты контроля объемов, сроков, качества и условий предоставления медицинской помощи в динамике до трех лет (за исключением медицинских организаций, впервые включенных в реестр медицинских организаций, осуществляющих деятельность в сфере обязательного медицинского страхования в году, на который формируется территориальная программа).</w:t>
      </w:r>
    </w:p>
    <w:p>
      <w:pPr>
        <w:pStyle w:val="0"/>
        <w:spacing w:before="240" w:lineRule="auto"/>
        <w:ind w:firstLine="540"/>
        <w:jc w:val="both"/>
      </w:pPr>
      <w:r>
        <w:rPr>
          <w:sz w:val="24"/>
        </w:rPr>
        <w:t xml:space="preserve">Распределение объемов медицинской помощи, установленных территориальной программой, между медицинскими организациями в субъекте Российской Федерации осуществляется без учета объемов медицинской помощи застрахованным лицам субъекта Российской Федерации, оказываемой за его пределами.</w:t>
      </w:r>
    </w:p>
    <w:p>
      <w:pPr>
        <w:pStyle w:val="0"/>
        <w:spacing w:before="240" w:lineRule="auto"/>
        <w:ind w:firstLine="540"/>
        <w:jc w:val="both"/>
      </w:pPr>
      <w:r>
        <w:rPr>
          <w:sz w:val="24"/>
        </w:rPr>
        <w:t xml:space="preserve">Распределение объемов медицинской помощи медицинской организации осуществляется Комиссией в объемах, не превышающих предложения медицинской организации, представленные медицинскими организациями государственной системы здравоохранения или муниципальной системы здравоохранения в уведомлении об осуществлении деятельности в сфере обязательного медицинского страхования в уведомлении в соответствии с </w:t>
      </w:r>
      <w:hyperlink w:history="0" w:anchor="P356" w:tooltip="18) численность застрахованных лиц страховой медицинской организацией в субъекте Российской Федерации на дату подачи уведомления о включении в реестр страховых медицинских организаций, осуществляющих деятельность в сфере обязательного медицинского страхования (далее - уведомление о включении в реестр страховых медицинских организаций);">
        <w:r>
          <w:rPr>
            <w:sz w:val="24"/>
            <w:color w:val="0000ff"/>
          </w:rPr>
          <w:t xml:space="preserve">подпунктом 18 пункта 94</w:t>
        </w:r>
      </w:hyperlink>
      <w:r>
        <w:rPr>
          <w:sz w:val="24"/>
        </w:rPr>
        <w:t xml:space="preserve"> настоящих Правил, а также в принятых к рассмотрению территориальным фондом заявлениях о включении в реестр медицинских организаций частной системы здравоохранения после оценки объемов медицинской помощи, оказанной застрахованным лицам за пределами субъекта Российской Федерации.</w:t>
      </w:r>
    </w:p>
    <w:p>
      <w:pPr>
        <w:pStyle w:val="0"/>
        <w:spacing w:before="240" w:lineRule="auto"/>
        <w:ind w:firstLine="540"/>
        <w:jc w:val="both"/>
      </w:pPr>
      <w:r>
        <w:rPr>
          <w:sz w:val="24"/>
        </w:rPr>
        <w:t xml:space="preserve">11. В целях распределения объемов между медицинскими организациями в рамках территориальной программы до 1 января года, на который осуществляется распределение, секретарю Комиссии не позднее трех рабочих дней после утверждения территориальной программы представляются следующая информация и предложения:</w:t>
      </w:r>
    </w:p>
    <w:p>
      <w:pPr>
        <w:pStyle w:val="0"/>
        <w:spacing w:before="240" w:lineRule="auto"/>
        <w:ind w:firstLine="540"/>
        <w:jc w:val="both"/>
      </w:pPr>
      <w:r>
        <w:rPr>
          <w:sz w:val="24"/>
        </w:rPr>
        <w:t xml:space="preserve">1) территориальным фондом:</w:t>
      </w:r>
    </w:p>
    <w:p>
      <w:pPr>
        <w:pStyle w:val="0"/>
        <w:spacing w:before="240" w:lineRule="auto"/>
        <w:ind w:firstLine="540"/>
        <w:jc w:val="both"/>
      </w:pPr>
      <w:r>
        <w:rPr>
          <w:sz w:val="24"/>
        </w:rPr>
        <w:t xml:space="preserve">численность застрахованных лиц субъекта Российской Федерации в разрезе половозрастных групп на основании сведений регионального сегмента единого регистра застрахованных лиц по состоянию на 1 января текущего года;</w:t>
      </w:r>
    </w:p>
    <w:p>
      <w:pPr>
        <w:pStyle w:val="0"/>
        <w:spacing w:before="240" w:lineRule="auto"/>
        <w:ind w:firstLine="540"/>
        <w:jc w:val="both"/>
      </w:pPr>
      <w:r>
        <w:rPr>
          <w:sz w:val="24"/>
        </w:rPr>
        <w:t xml:space="preserve">нормативы финансовых затрат на единицу объемов медицинской помощи, оказываемых в рамках территориальной программы, с учетом размера финансовых средств на реализацию территориальной программы в соответствии с законом о бюджете территориального фонда на соответствующий финансовый год (далее - плановый год);</w:t>
      </w:r>
    </w:p>
    <w:p>
      <w:pPr>
        <w:pStyle w:val="0"/>
        <w:spacing w:before="240" w:lineRule="auto"/>
        <w:ind w:firstLine="540"/>
        <w:jc w:val="both"/>
      </w:pPr>
      <w:r>
        <w:rPr>
          <w:sz w:val="24"/>
        </w:rPr>
        <w:t xml:space="preserve">перечень медицинских организаций, включенных в реестр медицинских организаций на плановый год;</w:t>
      </w:r>
    </w:p>
    <w:p>
      <w:pPr>
        <w:pStyle w:val="0"/>
        <w:spacing w:before="240" w:lineRule="auto"/>
        <w:ind w:firstLine="540"/>
        <w:jc w:val="both"/>
      </w:pPr>
      <w:r>
        <w:rPr>
          <w:sz w:val="24"/>
        </w:rPr>
        <w:t xml:space="preserve">2) медицинскими организациями:</w:t>
      </w:r>
    </w:p>
    <w:p>
      <w:pPr>
        <w:pStyle w:val="0"/>
        <w:spacing w:before="240" w:lineRule="auto"/>
        <w:ind w:firstLine="540"/>
        <w:jc w:val="both"/>
      </w:pPr>
      <w:r>
        <w:rPr>
          <w:sz w:val="24"/>
        </w:rPr>
        <w:t xml:space="preserve">штатная численность в разрезе профилей (отделений) и врачей-специалистов (штатные, занятые должности и физические лица) по состоянию на 1 сентября текущего года;</w:t>
      </w:r>
    </w:p>
    <w:p>
      <w:pPr>
        <w:pStyle w:val="0"/>
        <w:spacing w:before="240" w:lineRule="auto"/>
        <w:ind w:firstLine="540"/>
        <w:jc w:val="both"/>
      </w:pPr>
      <w:r>
        <w:rPr>
          <w:sz w:val="24"/>
        </w:rPr>
        <w:t xml:space="preserve">численность прикрепившихся застрахованных лиц, выбравших медицинскую организацию для оказания первичной медико-санитарной помощи в амбулаторных условиях в разрезе половозрастных групп и их списочный состав (в электронном виде);</w:t>
      </w:r>
    </w:p>
    <w:p>
      <w:pPr>
        <w:pStyle w:val="0"/>
        <w:spacing w:before="240" w:lineRule="auto"/>
        <w:ind w:firstLine="540"/>
        <w:jc w:val="both"/>
      </w:pPr>
      <w:r>
        <w:rPr>
          <w:sz w:val="24"/>
        </w:rPr>
        <w:t xml:space="preserve">фактически выполненные объемы медицинской помощи за предыдущий год и первое полугодие текущего года по видам и условиям предоставления медицинской помощи в разрезе профилей, врачей-специалистов, клинико-профильных/клинико-статистических групп заболеваний (далее - КСГ) по детскому и взрослому населению, количеству диагностических и (или) консультативных услуг, а также объемы их финансирования (за исключением медицинских организаций, вновь включенных в реестр медицинских организаций);</w:t>
      </w:r>
    </w:p>
    <w:p>
      <w:pPr>
        <w:pStyle w:val="0"/>
        <w:spacing w:before="240" w:lineRule="auto"/>
        <w:ind w:firstLine="540"/>
        <w:jc w:val="both"/>
      </w:pPr>
      <w:r>
        <w:rPr>
          <w:sz w:val="24"/>
        </w:rPr>
        <w:t xml:space="preserve">предложения о планируемых к выполнению объемах медицинской помощи на плановый год по видам и условиям оказания медицинской помощи, диагностических услуг, в разрезе профилей, врачей-специалистов, КСГ по детскому и взрослому населению;</w:t>
      </w:r>
    </w:p>
    <w:p>
      <w:pPr>
        <w:pStyle w:val="0"/>
        <w:spacing w:before="240" w:lineRule="auto"/>
        <w:ind w:firstLine="540"/>
        <w:jc w:val="both"/>
      </w:pPr>
      <w:r>
        <w:rPr>
          <w:sz w:val="24"/>
        </w:rPr>
        <w:t xml:space="preserve">3) исполнительным органом государственной власти субъекта Российской Федерации в сфере охраны здоровья - предложения по распределению объемов предоставления медицинской помощи медицинским организациям в соответствии с порядками оказания медицинской помощи, клиническими рекомендациями и с учетом стандартов медицинской помощи, сроков ожидания медицинской помощи по территориальной программе и объективных критериев (среднего радиуса территории обслуживания скорой медицинской помощи, количества фельдшерско-акушерских пунктов (фельдшерских пунктов, фельдшерских здравпунктов), врачебных амбулаторий, расходов на содержание имущества на единицу объема медицинской помощи и других).</w:t>
      </w:r>
    </w:p>
    <w:p>
      <w:pPr>
        <w:pStyle w:val="0"/>
        <w:spacing w:before="240" w:lineRule="auto"/>
        <w:ind w:firstLine="540"/>
        <w:jc w:val="both"/>
      </w:pPr>
      <w:r>
        <w:rPr>
          <w:sz w:val="24"/>
        </w:rPr>
        <w:t xml:space="preserve">Секретарем Комиссии в течение трех рабочих дней с даты поступления предложений формируются и представляются членам Комиссии материалы для рассмотрения. Распределение объемов медицинской помощи между медицинскими организациями осуществляется Комиссией в течение трех рабочих дней после получения материалов от секретаря Комиссии.</w:t>
      </w:r>
    </w:p>
    <w:p>
      <w:pPr>
        <w:pStyle w:val="0"/>
        <w:spacing w:before="240" w:lineRule="auto"/>
        <w:ind w:firstLine="540"/>
        <w:jc w:val="both"/>
      </w:pPr>
      <w:r>
        <w:rPr>
          <w:sz w:val="24"/>
        </w:rPr>
        <w:t xml:space="preserve">12. Распределение объемов медицинской помощи между медицинскими организациями осуществляется Комиссией по следующим критериям:</w:t>
      </w:r>
    </w:p>
    <w:p>
      <w:pPr>
        <w:pStyle w:val="0"/>
        <w:spacing w:before="240" w:lineRule="auto"/>
        <w:ind w:firstLine="540"/>
        <w:jc w:val="both"/>
      </w:pPr>
      <w:r>
        <w:rPr>
          <w:sz w:val="24"/>
        </w:rPr>
        <w:t xml:space="preserve">1) количество прикрепленных застрахованных лиц к медицинским организациям, оказывающим медицинскую помощь в амбулаторных условиях, и показателей объемов предоставления медицинской помощи на одно застрахованное лицо в год, утвержденных территориальной программой, с учетом показателей потребления медицинской помощи, видов медицинской помощи, условий предоставления медицинской помощи и врачебных специальностей;</w:t>
      </w:r>
    </w:p>
    <w:p>
      <w:pPr>
        <w:pStyle w:val="0"/>
        <w:spacing w:before="240" w:lineRule="auto"/>
        <w:ind w:firstLine="540"/>
        <w:jc w:val="both"/>
      </w:pPr>
      <w:r>
        <w:rPr>
          <w:sz w:val="24"/>
        </w:rPr>
        <w:t xml:space="preserve">2) показатели объемов предоставления медицинской помощи на одно застрахованное лицо в год, утвержденных территориальной программой, с учетом профилей отделений (коек), врачебных специальностей, видов медицинской помощи и условий ее предоставления медицинскими организациями, не имеющими прикрепленных застрахованных лиц;</w:t>
      </w:r>
    </w:p>
    <w:p>
      <w:pPr>
        <w:pStyle w:val="0"/>
        <w:spacing w:before="240" w:lineRule="auto"/>
        <w:ind w:firstLine="540"/>
        <w:jc w:val="both"/>
      </w:pPr>
      <w:r>
        <w:rPr>
          <w:sz w:val="24"/>
        </w:rPr>
        <w:t xml:space="preserve">3) количество диагностических и (или) консультативных услуг для обеспечения потребности медицинских организаций по выполнению порядков оказания медицинской помощи и с учетом стандартов медицинской помощи по заболеваниям и состояниям в полном объеме при отсутствии или недостаточности у медицинских организаций данных диагностических и (или) консультативных услуг;</w:t>
      </w:r>
    </w:p>
    <w:p>
      <w:pPr>
        <w:pStyle w:val="0"/>
        <w:spacing w:before="240" w:lineRule="auto"/>
        <w:ind w:firstLine="540"/>
        <w:jc w:val="both"/>
      </w:pPr>
      <w:r>
        <w:rPr>
          <w:sz w:val="24"/>
        </w:rPr>
        <w:t xml:space="preserve">4) соотношение оказанных объемов предоставления медицинской помощи и оплаченных страховыми медицинскими организациями каждой медицинской организации;</w:t>
      </w:r>
    </w:p>
    <w:p>
      <w:pPr>
        <w:pStyle w:val="0"/>
        <w:spacing w:before="240" w:lineRule="auto"/>
        <w:ind w:firstLine="540"/>
        <w:jc w:val="both"/>
      </w:pPr>
      <w:r>
        <w:rPr>
          <w:sz w:val="24"/>
        </w:rPr>
        <w:t xml:space="preserve">5) необходимость и возможность внедрения новых медицинских услуг или технологий;</w:t>
      </w:r>
    </w:p>
    <w:p>
      <w:pPr>
        <w:pStyle w:val="0"/>
        <w:spacing w:before="240" w:lineRule="auto"/>
        <w:ind w:firstLine="540"/>
        <w:jc w:val="both"/>
      </w:pPr>
      <w:r>
        <w:rPr>
          <w:sz w:val="24"/>
        </w:rPr>
        <w:t xml:space="preserve">6) наличие ресурсного, в том числе кадрового, обеспечения планируемых объемов предоставления медицинской помощи;</w:t>
      </w:r>
    </w:p>
    <w:p>
      <w:pPr>
        <w:pStyle w:val="0"/>
        <w:spacing w:before="240" w:lineRule="auto"/>
        <w:ind w:firstLine="540"/>
        <w:jc w:val="both"/>
      </w:pPr>
      <w:r>
        <w:rPr>
          <w:sz w:val="24"/>
        </w:rPr>
        <w:t xml:space="preserve">7) достаточность мощности медицинской организации для выполнения объемов медицинской помощи, заявленных медицинской организацией государственной системы здравоохранения или муниципальной системы здравоохранения в уведомлении об осуществлении деятельности в сфере обязательного медицинского страхования, а также в принятых к рассмотрению территориальным фондом заявлениях о включении в реестр медицинских организаций частной системы здравоохранения;</w:t>
      </w:r>
    </w:p>
    <w:p>
      <w:pPr>
        <w:pStyle w:val="0"/>
        <w:spacing w:before="240" w:lineRule="auto"/>
        <w:ind w:firstLine="540"/>
        <w:jc w:val="both"/>
      </w:pPr>
      <w:r>
        <w:rPr>
          <w:sz w:val="24"/>
        </w:rPr>
        <w:t xml:space="preserve">8) результаты контроля объемов, сроков, качества и условий предоставления медицинской помощи в динамике до трех лет (за исключением медицинских организаций, впервые включенных в реестр медицинских организаций, осуществляющих деятельность в сфере обязательного медицинского страхования в году, на который формируется территориальная программа).</w:t>
      </w:r>
    </w:p>
    <w:p>
      <w:pPr>
        <w:pStyle w:val="0"/>
        <w:spacing w:before="240" w:lineRule="auto"/>
        <w:ind w:firstLine="540"/>
        <w:jc w:val="both"/>
      </w:pPr>
      <w:r>
        <w:rPr>
          <w:sz w:val="24"/>
        </w:rPr>
        <w:t xml:space="preserve">При распределении объемов медицинской помощи между медицинскими организациями критерии рассматриваются Комиссией комплексно.</w:t>
      </w:r>
    </w:p>
    <w:p>
      <w:pPr>
        <w:pStyle w:val="0"/>
        <w:spacing w:before="240" w:lineRule="auto"/>
        <w:ind w:firstLine="540"/>
        <w:jc w:val="both"/>
      </w:pPr>
      <w:r>
        <w:rPr>
          <w:sz w:val="24"/>
        </w:rPr>
        <w:t xml:space="preserve">13. Для рассмотрения отдельных вопросов и подготовки необходимых предложений, оперативного перераспределения объемов предоставления и финансового обеспечения медицинской помощи, распределенных между медицинскими организациями, при Комиссии могут создаваться рабочие группы, к работе которой кроме членов Комиссии могут привлекаться специалисты органа исполнительной власти субъекта Российской Федерации, уполномоченного высшим исполнительным органом государственной власти субъекта Российской Федерации, территориального фонда, страховых медицинских организаций и медицинских организаций, медицинских профессиональных некоммерческих организаций или их ассоциаций (союзов) и профессиональных союзов медицинских работников или их объединений (ассоциаций), осуществляющих деятельность на территории субъекта Российской Федерации.</w:t>
      </w:r>
    </w:p>
    <w:p>
      <w:pPr>
        <w:pStyle w:val="0"/>
        <w:spacing w:before="240" w:lineRule="auto"/>
        <w:ind w:firstLine="540"/>
        <w:jc w:val="both"/>
      </w:pPr>
      <w:r>
        <w:rPr>
          <w:sz w:val="24"/>
        </w:rPr>
        <w:t xml:space="preserve">14. Для разработки проекта тарифного соглашения создается рабочая группа по тарифам на оплату медицинской помощи.</w:t>
      </w:r>
    </w:p>
    <w:p>
      <w:pPr>
        <w:pStyle w:val="0"/>
        <w:spacing w:before="240" w:lineRule="auto"/>
        <w:ind w:firstLine="540"/>
        <w:jc w:val="both"/>
      </w:pPr>
      <w:r>
        <w:rPr>
          <w:sz w:val="24"/>
        </w:rPr>
        <w:t xml:space="preserve">В срок до 15 декабря текущего года страховыми медицинскими организациями, медицинскими организациями, исполнительным органом государственной власти субъекта Российской Федерации в сфере охраны здоровья предоставляются к заседанию рабочей группы данные статистической и финансовой отчетности, необходимые для расчета тарифов на оплату медицинской помощи, и предложения по способам оплаты медицинской помощи и структуре тарифов на оплату медицинской помощи, установленные территориальной программой в соответствии с базовой программой, утверждаемой в составе программы государственных гарантий бесплатного оказания гражданам медицинской помощи.</w:t>
      </w:r>
    </w:p>
    <w:p>
      <w:pPr>
        <w:pStyle w:val="0"/>
        <w:spacing w:before="240" w:lineRule="auto"/>
        <w:ind w:firstLine="540"/>
        <w:jc w:val="both"/>
      </w:pPr>
      <w:r>
        <w:rPr>
          <w:sz w:val="24"/>
        </w:rPr>
        <w:t xml:space="preserve">На основании представленных данных рабочая группа:</w:t>
      </w:r>
    </w:p>
    <w:p>
      <w:pPr>
        <w:pStyle w:val="0"/>
        <w:spacing w:before="240" w:lineRule="auto"/>
        <w:ind w:firstLine="540"/>
        <w:jc w:val="both"/>
      </w:pPr>
      <w:r>
        <w:rPr>
          <w:sz w:val="24"/>
        </w:rPr>
        <w:t xml:space="preserve">1) в срок до 15 декабря текущего года осуществляет необходимые расчеты для формирования тарифов на оплату медицинской помощи на плановый период в соответствии с методикой расчета тарифов на оплату медицинской помощи, </w:t>
      </w:r>
      <w:hyperlink w:history="0" r:id="rId298" w:tooltip="Приказ Минздрава России от 10.02.2023 N 44н (ред. от 06.05.2026) &quot;Об утверждении Требований к структуре и содержанию тарифного соглашения&quot; (Зарегистрировано в Минюсте России 04.05.2023 N 73226) {КонсультантПлюс}">
        <w:r>
          <w:rPr>
            <w:sz w:val="24"/>
            <w:color w:val="0000ff"/>
          </w:rPr>
          <w:t xml:space="preserve">требованиями</w:t>
        </w:r>
      </w:hyperlink>
      <w:r>
        <w:rPr>
          <w:sz w:val="24"/>
        </w:rPr>
        <w:t xml:space="preserve"> к структуре и содержанию тарифного соглашения, установленными уполномоченным федеральным органом исполнительной власти в соответствии с </w:t>
      </w:r>
      <w:hyperlink w:history="0" r:id="rId299" w:tooltip="Федеральный закон от 29.11.2010 N 326-ФЗ (ред. от 20.02.2026) &quot;Об обязательном медицинском страховании в Российской Федерации&quot; {КонсультантПлюс}">
        <w:r>
          <w:rPr>
            <w:sz w:val="24"/>
            <w:color w:val="0000ff"/>
          </w:rPr>
          <w:t xml:space="preserve">частями 1</w:t>
        </w:r>
      </w:hyperlink>
      <w:r>
        <w:rPr>
          <w:sz w:val="24"/>
        </w:rPr>
        <w:t xml:space="preserve"> и </w:t>
      </w:r>
      <w:hyperlink w:history="0" r:id="rId300" w:tooltip="Федеральный закон от 29.11.2010 N 326-ФЗ (ред. от 20.02.2026) &quot;Об обязательном медицинском страховании в Российской Федерации&quot; {КонсультантПлюс}">
        <w:r>
          <w:rPr>
            <w:sz w:val="24"/>
            <w:color w:val="0000ff"/>
          </w:rPr>
          <w:t xml:space="preserve">2 статьи 30</w:t>
        </w:r>
      </w:hyperlink>
      <w:r>
        <w:rPr>
          <w:sz w:val="24"/>
        </w:rPr>
        <w:t xml:space="preserve"> Федерального закона;</w:t>
      </w:r>
    </w:p>
    <w:p>
      <w:pPr>
        <w:pStyle w:val="0"/>
        <w:spacing w:before="240" w:lineRule="auto"/>
        <w:ind w:firstLine="540"/>
        <w:jc w:val="both"/>
      </w:pPr>
      <w:r>
        <w:rPr>
          <w:sz w:val="24"/>
        </w:rPr>
        <w:t xml:space="preserve">2) в срок до 20 декабря текущего года готовит проект тарифного соглашения;</w:t>
      </w:r>
    </w:p>
    <w:p>
      <w:pPr>
        <w:pStyle w:val="0"/>
        <w:spacing w:before="240" w:lineRule="auto"/>
        <w:ind w:firstLine="540"/>
        <w:jc w:val="both"/>
      </w:pPr>
      <w:r>
        <w:rPr>
          <w:sz w:val="24"/>
        </w:rPr>
        <w:t xml:space="preserve">3) в срок до 25 декабря текущего года направляет для рассмотрения проект тарифного соглашения членам Комиссии;</w:t>
      </w:r>
    </w:p>
    <w:p>
      <w:pPr>
        <w:pStyle w:val="0"/>
        <w:spacing w:before="240" w:lineRule="auto"/>
        <w:ind w:firstLine="540"/>
        <w:jc w:val="both"/>
      </w:pPr>
      <w:r>
        <w:rPr>
          <w:sz w:val="24"/>
        </w:rPr>
        <w:t xml:space="preserve">4) в пятидневный срок со дня заключения направляет тарифное соглашение в Федеральный фонд для подготовки заключения о соответствии тарифного соглашения базовой программе, а также в случае, если в заключении Федерального фонда сделан вывод о несоответствии тарифного соглашения базовой программе обязательного медицинского страхования, обеспечивает внесение соответствующих изменений в тарифное соглашение и повторное рассмотрение тарифного соглашения Комиссией, а также повторное направление тарифного соглашения в Федеральный фонд в установленный им срок. Устранение замечаний, указанных в заключении Федерального фонда, является обязательным.</w:t>
      </w:r>
    </w:p>
    <w:p>
      <w:pPr>
        <w:pStyle w:val="0"/>
        <w:spacing w:before="240" w:lineRule="auto"/>
        <w:ind w:firstLine="540"/>
        <w:jc w:val="both"/>
      </w:pPr>
      <w:r>
        <w:rPr>
          <w:sz w:val="24"/>
        </w:rPr>
        <w:t xml:space="preserve">15. Решения о распределении объемов предоставления и финансового обеспечения медицинской помощи между медицинскими организациями включаются в состав тарифного соглашения или принимаются отдельными решениями Комиссии в срок до 30 декабря текущего года. О принятых решениях Комиссия информирует территориальный фонд, исполнительный орган государственной власти субъекта Российской Федерации в сфере охраны здоровья, страховые медицинские организации и медицинские организации.</w:t>
      </w:r>
    </w:p>
    <w:p>
      <w:pPr>
        <w:pStyle w:val="0"/>
        <w:spacing w:before="240" w:lineRule="auto"/>
        <w:ind w:firstLine="540"/>
        <w:jc w:val="both"/>
      </w:pPr>
      <w:r>
        <w:rPr>
          <w:sz w:val="24"/>
        </w:rPr>
        <w:t xml:space="preserve">16. Персональный состав Комиссии утверждается правовым актом высшего исполнительного органа государственной власти субъекта Российской Федерации.</w:t>
      </w:r>
    </w:p>
    <w:p>
      <w:pPr>
        <w:pStyle w:val="0"/>
        <w:spacing w:before="240" w:lineRule="auto"/>
        <w:ind w:firstLine="540"/>
        <w:jc w:val="both"/>
      </w:pPr>
      <w:r>
        <w:rPr>
          <w:sz w:val="24"/>
        </w:rPr>
        <w:t xml:space="preserve">Изменения в состав Комиссии вносятся не реже одного раза в три года.</w:t>
      </w:r>
    </w:p>
    <w:p>
      <w:pPr>
        <w:pStyle w:val="0"/>
        <w:spacing w:before="240" w:lineRule="auto"/>
        <w:ind w:firstLine="540"/>
        <w:jc w:val="both"/>
      </w:pPr>
      <w:r>
        <w:rPr>
          <w:sz w:val="24"/>
        </w:rPr>
        <w:t xml:space="preserve">Состав Комиссии не должен быть меньше пяти человек.</w:t>
      </w:r>
    </w:p>
    <w:p>
      <w:pPr>
        <w:pStyle w:val="0"/>
        <w:spacing w:before="240" w:lineRule="auto"/>
        <w:ind w:firstLine="540"/>
        <w:jc w:val="both"/>
      </w:pPr>
      <w:r>
        <w:rPr>
          <w:sz w:val="24"/>
        </w:rPr>
        <w:t xml:space="preserve">17. Председателем Комиссии является представитель органа исполнительной власти субъекта Российской Федерации, уполномоченного высшим исполнительным органом государственной власти субъекта Российской Федерации.</w:t>
      </w:r>
    </w:p>
    <w:p>
      <w:pPr>
        <w:pStyle w:val="0"/>
        <w:spacing w:before="240" w:lineRule="auto"/>
        <w:ind w:firstLine="540"/>
        <w:jc w:val="both"/>
      </w:pPr>
      <w:r>
        <w:rPr>
          <w:sz w:val="24"/>
        </w:rPr>
        <w:t xml:space="preserve">18. Секретарем Комиссии является представитель территориального фонда. Секретарь Комиссии не менее чем за три рабочих дня до начала заседания Комиссии информирует членов Комиссии о дате, месте и времени проведения заседания и организует рассылку необходимых материалов. Секретарь Комиссии обеспечивает ведение делопроизводства и хранение протоколов Комиссии.</w:t>
      </w:r>
    </w:p>
    <w:p>
      <w:pPr>
        <w:pStyle w:val="0"/>
        <w:spacing w:before="240" w:lineRule="auto"/>
        <w:ind w:firstLine="540"/>
        <w:jc w:val="both"/>
      </w:pPr>
      <w:r>
        <w:rPr>
          <w:sz w:val="24"/>
        </w:rPr>
        <w:t xml:space="preserve">19. Заседания Комиссии проводятся по мере необходимости, но не реже одного раза в месяц.</w:t>
      </w:r>
    </w:p>
    <w:p>
      <w:pPr>
        <w:pStyle w:val="0"/>
        <w:spacing w:before="240" w:lineRule="auto"/>
        <w:ind w:firstLine="540"/>
        <w:jc w:val="both"/>
      </w:pPr>
      <w:r>
        <w:rPr>
          <w:sz w:val="24"/>
        </w:rPr>
        <w:t xml:space="preserve">20. Решения Комиссии считаются правомочными, если в заседании принимало участие более двух третей членов Комиссии. Решение принимается простым большинством голосов от количества присутствующих на заседании членов Комиссии. В случае равенства голосов голос председателя Комиссии является решающим.</w:t>
      </w:r>
    </w:p>
    <w:p>
      <w:pPr>
        <w:pStyle w:val="0"/>
        <w:spacing w:before="240" w:lineRule="auto"/>
        <w:ind w:firstLine="540"/>
        <w:jc w:val="both"/>
      </w:pPr>
      <w:r>
        <w:rPr>
          <w:sz w:val="24"/>
        </w:rPr>
        <w:t xml:space="preserve">21. Решения Комиссии оформляются протоколом, который подписывается председательствующим и членами Комиссии и доводится до сведения территориального фонда, страховых медицинских организаций и медицинских организаций. Решения, принимаемые Комиссией в соответствии с ее компетенцией, являются обязательными для всех участников обязательного медицинского страхования на территории субъекта Российской Федерации.</w:t>
      </w:r>
    </w:p>
    <w:p>
      <w:pPr>
        <w:pStyle w:val="0"/>
        <w:spacing w:before="240" w:lineRule="auto"/>
        <w:ind w:firstLine="540"/>
        <w:jc w:val="both"/>
      </w:pPr>
      <w:r>
        <w:rPr>
          <w:sz w:val="24"/>
        </w:rPr>
        <w:t xml:space="preserve">22. Выписка из протокола решения Комиссии по распределению объемов предоставления медицинской помощи между медицинскими организациями размещается на официальных сайтах исполнительного органа государственной власти субъекта Российской Федерации в сфере охраны здоровья и территориального фонда в информационно-телекоммуникационной сети "Интернет" в течение двух рабочих дней со дня их распределения.</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1"/>
        <w:jc w:val="right"/>
      </w:pPr>
      <w:r>
        <w:rPr>
          <w:sz w:val="24"/>
        </w:rPr>
        <w:t xml:space="preserve">Приложение N 6</w:t>
      </w:r>
    </w:p>
    <w:p>
      <w:pPr>
        <w:pStyle w:val="0"/>
        <w:jc w:val="right"/>
      </w:pPr>
      <w:r>
        <w:rPr>
          <w:sz w:val="24"/>
        </w:rPr>
        <w:t xml:space="preserve">к Правилам обязательного медицинского</w:t>
      </w:r>
    </w:p>
    <w:p>
      <w:pPr>
        <w:pStyle w:val="0"/>
        <w:jc w:val="right"/>
      </w:pPr>
      <w:r>
        <w:rPr>
          <w:sz w:val="24"/>
        </w:rPr>
        <w:t xml:space="preserve">страхования, утвержденным приказом</w:t>
      </w:r>
    </w:p>
    <w:p>
      <w:pPr>
        <w:pStyle w:val="0"/>
        <w:jc w:val="right"/>
      </w:pPr>
      <w:r>
        <w:rPr>
          <w:sz w:val="24"/>
        </w:rPr>
        <w:t xml:space="preserve">Министерства здравоохранения</w:t>
      </w:r>
    </w:p>
    <w:p>
      <w:pPr>
        <w:pStyle w:val="0"/>
        <w:jc w:val="right"/>
      </w:pPr>
      <w:r>
        <w:rPr>
          <w:sz w:val="24"/>
        </w:rPr>
        <w:t xml:space="preserve">Российской Федерации</w:t>
      </w:r>
    </w:p>
    <w:p>
      <w:pPr>
        <w:pStyle w:val="0"/>
        <w:jc w:val="right"/>
      </w:pPr>
      <w:r>
        <w:rPr>
          <w:sz w:val="24"/>
        </w:rPr>
        <w:t xml:space="preserve">от 21 августа 2025 г. N 496н</w:t>
      </w:r>
    </w:p>
    <w:p>
      <w:pPr>
        <w:pStyle w:val="0"/>
        <w:jc w:val="both"/>
      </w:pPr>
      <w:r>
        <w:rPr>
          <w:sz w:val="24"/>
        </w:rPr>
      </w:r>
    </w:p>
    <w:p>
      <w:pPr>
        <w:pStyle w:val="0"/>
        <w:jc w:val="right"/>
      </w:pPr>
      <w:r>
        <w:rPr>
          <w:sz w:val="24"/>
        </w:rPr>
        <w:t xml:space="preserve">Рекомендуемый образец</w:t>
      </w:r>
    </w:p>
    <w:p>
      <w:pPr>
        <w:pStyle w:val="0"/>
        <w:jc w:val="both"/>
      </w:pPr>
      <w:r>
        <w:rPr>
          <w:sz w:val="24"/>
        </w:rPr>
      </w:r>
    </w:p>
    <w:bookmarkStart w:id="2333" w:name="P2333"/>
    <w:bookmarkEnd w:id="2333"/>
    <w:p>
      <w:pPr>
        <w:pStyle w:val="0"/>
        <w:jc w:val="center"/>
      </w:pPr>
      <w:r>
        <w:rPr>
          <w:sz w:val="24"/>
        </w:rPr>
        <w:t xml:space="preserve">Реестр</w:t>
      </w:r>
    </w:p>
    <w:p>
      <w:pPr>
        <w:pStyle w:val="0"/>
        <w:jc w:val="center"/>
      </w:pPr>
      <w:r>
        <w:rPr>
          <w:sz w:val="24"/>
        </w:rPr>
        <w:t xml:space="preserve">медицинских организаций, осуществляющих деятельность</w:t>
      </w:r>
    </w:p>
    <w:p>
      <w:pPr>
        <w:pStyle w:val="0"/>
        <w:jc w:val="center"/>
      </w:pPr>
      <w:r>
        <w:rPr>
          <w:sz w:val="24"/>
        </w:rPr>
        <w:t xml:space="preserve">в сфере обязательного медицинского страхования</w:t>
      </w:r>
    </w:p>
    <w:p>
      <w:pPr>
        <w:pStyle w:val="0"/>
        <w:jc w:val="center"/>
      </w:pPr>
      <w:r>
        <w:rPr>
          <w:sz w:val="24"/>
        </w:rPr>
        <w:t xml:space="preserve">по территориальной программе обязательного</w:t>
      </w:r>
    </w:p>
    <w:p>
      <w:pPr>
        <w:pStyle w:val="0"/>
        <w:jc w:val="center"/>
      </w:pPr>
      <w:r>
        <w:rPr>
          <w:sz w:val="24"/>
        </w:rPr>
        <w:t xml:space="preserve">медицинского страхования</w:t>
      </w:r>
    </w:p>
    <w:p>
      <w:pPr>
        <w:pStyle w:val="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8503"/>
        <w:gridCol w:w="566"/>
      </w:tblGrid>
      <w:tr>
        <w:tc>
          <w:tcPr>
            <w:tcW w:w="8503" w:type="dxa"/>
          </w:tcPr>
          <w:p>
            <w:pPr>
              <w:pStyle w:val="0"/>
              <w:jc w:val="both"/>
            </w:pPr>
            <w:r>
              <w:rPr>
                <w:sz w:val="24"/>
              </w:rPr>
              <w:t xml:space="preserve">Уникальный номер записи реестра медицинских организаций, осуществляющих деятельность в сфере обязательного медицинского страхования, на соответствующий финансовый год по медицинской организации</w:t>
            </w:r>
          </w:p>
        </w:tc>
        <w:tc>
          <w:tcPr>
            <w:tcW w:w="566" w:type="dxa"/>
          </w:tcPr>
          <w:p>
            <w:pPr>
              <w:pStyle w:val="0"/>
            </w:pPr>
            <w:r>
              <w:rPr>
                <w:sz w:val="24"/>
              </w:rPr>
              <w:t xml:space="preserve">1</w:t>
            </w:r>
          </w:p>
        </w:tc>
      </w:tr>
      <w:tr>
        <w:tc>
          <w:tcPr>
            <w:tcW w:w="8503" w:type="dxa"/>
          </w:tcPr>
          <w:p>
            <w:pPr>
              <w:pStyle w:val="0"/>
              <w:jc w:val="both"/>
            </w:pPr>
            <w:r>
              <w:rPr>
                <w:sz w:val="24"/>
              </w:rPr>
              <w:t xml:space="preserve">Код медицинской организации (уникальный номер записи единого реестра медицинских организаций, в которой содержатся сведения о медицинской организации) (индивидуального предпринимателя, осуществляющего медицинскую деятельность)</w:t>
            </w:r>
          </w:p>
        </w:tc>
        <w:tc>
          <w:tcPr>
            <w:tcW w:w="566" w:type="dxa"/>
          </w:tcPr>
          <w:p>
            <w:pPr>
              <w:pStyle w:val="0"/>
            </w:pPr>
            <w:r>
              <w:rPr>
                <w:sz w:val="24"/>
              </w:rPr>
              <w:t xml:space="preserve">2</w:t>
            </w:r>
          </w:p>
        </w:tc>
      </w:tr>
      <w:tr>
        <w:tc>
          <w:tcPr>
            <w:tcW w:w="8503" w:type="dxa"/>
          </w:tcPr>
          <w:p>
            <w:pPr>
              <w:pStyle w:val="0"/>
              <w:jc w:val="both"/>
            </w:pPr>
            <w:r>
              <w:rPr>
                <w:sz w:val="24"/>
              </w:rPr>
              <w:t xml:space="preserve">Код территории субъекта Российской Федерации в соответствии с Общероссийским </w:t>
            </w:r>
            <w:hyperlink w:history="0" r:id="rId301" w:tooltip="&quot;ОК 033-2013. Общероссийский классификатор территорий муниципальных образований&quot; (Том 1. Центральный федеральный округ) (утв. Приказом Росстандарта от 14.06.2013 N 159-ст) (с учетом Изменений 1/2013 - 923/2025) {КонсультантПлюс}">
              <w:r>
                <w:rPr>
                  <w:sz w:val="24"/>
                  <w:color w:val="0000ff"/>
                </w:rPr>
                <w:t xml:space="preserve">классификатором</w:t>
              </w:r>
            </w:hyperlink>
            <w:r>
              <w:rPr>
                <w:sz w:val="24"/>
              </w:rPr>
              <w:t xml:space="preserve"> территорий муниципальных образований (ОКТМО), в реализации территориальной программы обязательного медицинского страхования которого участвует медицинская организация</w:t>
            </w:r>
          </w:p>
        </w:tc>
        <w:tc>
          <w:tcPr>
            <w:tcW w:w="566" w:type="dxa"/>
          </w:tcPr>
          <w:p>
            <w:pPr>
              <w:pStyle w:val="0"/>
            </w:pPr>
            <w:r>
              <w:rPr>
                <w:sz w:val="24"/>
              </w:rPr>
              <w:t xml:space="preserve">3</w:t>
            </w:r>
          </w:p>
        </w:tc>
      </w:tr>
      <w:tr>
        <w:tc>
          <w:tcPr>
            <w:tcW w:w="8503" w:type="dxa"/>
          </w:tcPr>
          <w:p>
            <w:pPr>
              <w:pStyle w:val="0"/>
              <w:jc w:val="both"/>
            </w:pPr>
            <w:r>
              <w:rPr>
                <w:sz w:val="24"/>
              </w:rPr>
              <w:t xml:space="preserve">Полное и сокращенное (при наличии) наименования медицинской организации в соответствии со сведениями единого государственного реестра юридических лиц (ЕГРЮЛ);</w:t>
            </w:r>
          </w:p>
          <w:p>
            <w:pPr>
              <w:pStyle w:val="0"/>
              <w:jc w:val="both"/>
            </w:pPr>
            <w:r>
              <w:rPr>
                <w:sz w:val="24"/>
              </w:rPr>
              <w:t xml:space="preserve">фамилия, имя, отчество (при наличии) индивидуального предпринимателя, осуществляющего медицинскую деятельность, в соответствии со сведениями Единого государственного реестра индивидуальных предпринимателей (ЕГРИП)</w:t>
            </w:r>
          </w:p>
        </w:tc>
        <w:tc>
          <w:tcPr>
            <w:tcW w:w="566" w:type="dxa"/>
          </w:tcPr>
          <w:p>
            <w:pPr>
              <w:pStyle w:val="0"/>
            </w:pPr>
            <w:r>
              <w:rPr>
                <w:sz w:val="24"/>
              </w:rPr>
              <w:t xml:space="preserve">4</w:t>
            </w:r>
          </w:p>
        </w:tc>
      </w:tr>
      <w:tr>
        <w:tc>
          <w:tcPr>
            <w:tcW w:w="8503" w:type="dxa"/>
          </w:tcPr>
          <w:p>
            <w:pPr>
              <w:pStyle w:val="0"/>
              <w:jc w:val="both"/>
            </w:pPr>
            <w:r>
              <w:rPr>
                <w:sz w:val="24"/>
              </w:rPr>
              <w:t xml:space="preserve">Идентификационный номер налогоплательщика (ИНН) медицинской организации (индивидуального предпринимателя) в соответствии со свидетельством о постановке на учет в налоговом органе</w:t>
            </w:r>
          </w:p>
        </w:tc>
        <w:tc>
          <w:tcPr>
            <w:tcW w:w="566" w:type="dxa"/>
          </w:tcPr>
          <w:p>
            <w:pPr>
              <w:pStyle w:val="0"/>
            </w:pPr>
            <w:r>
              <w:rPr>
                <w:sz w:val="24"/>
              </w:rPr>
              <w:t xml:space="preserve">5</w:t>
            </w:r>
          </w:p>
        </w:tc>
      </w:tr>
      <w:tr>
        <w:tc>
          <w:tcPr>
            <w:tcW w:w="8503" w:type="dxa"/>
          </w:tcPr>
          <w:p>
            <w:pPr>
              <w:pStyle w:val="0"/>
              <w:jc w:val="both"/>
            </w:pPr>
            <w:r>
              <w:rPr>
                <w:sz w:val="24"/>
              </w:rPr>
              <w:t xml:space="preserve">Код причины постановки на учет (КПП) медицинской организации в соответствии со свидетельством о постановке на учет в налоговом органе</w:t>
            </w:r>
          </w:p>
        </w:tc>
        <w:tc>
          <w:tcPr>
            <w:tcW w:w="566" w:type="dxa"/>
          </w:tcPr>
          <w:p>
            <w:pPr>
              <w:pStyle w:val="0"/>
            </w:pPr>
            <w:r>
              <w:rPr>
                <w:sz w:val="24"/>
              </w:rPr>
              <w:t xml:space="preserve">6</w:t>
            </w:r>
          </w:p>
        </w:tc>
      </w:tr>
      <w:tr>
        <w:tc>
          <w:tcPr>
            <w:tcW w:w="8503" w:type="dxa"/>
          </w:tcPr>
          <w:p>
            <w:pPr>
              <w:pStyle w:val="0"/>
              <w:jc w:val="both"/>
            </w:pPr>
            <w:r>
              <w:rPr>
                <w:sz w:val="24"/>
              </w:rPr>
              <w:t xml:space="preserve">Основной государственный регистрационный номер записи о создании юридического лица (ОГРН) медицинской организации</w:t>
            </w:r>
          </w:p>
        </w:tc>
        <w:tc>
          <w:tcPr>
            <w:tcW w:w="566" w:type="dxa"/>
          </w:tcPr>
          <w:p>
            <w:pPr>
              <w:pStyle w:val="0"/>
            </w:pPr>
            <w:r>
              <w:rPr>
                <w:sz w:val="24"/>
              </w:rPr>
              <w:t xml:space="preserve">7</w:t>
            </w:r>
          </w:p>
        </w:tc>
      </w:tr>
      <w:tr>
        <w:tc>
          <w:tcPr>
            <w:tcW w:w="8503" w:type="dxa"/>
          </w:tcPr>
          <w:p>
            <w:pPr>
              <w:pStyle w:val="0"/>
              <w:jc w:val="both"/>
            </w:pPr>
            <w:r>
              <w:rPr>
                <w:sz w:val="24"/>
              </w:rPr>
              <w:t xml:space="preserve">Код организационно-правовой формы медицинской организации в соответствии с Общероссийским </w:t>
            </w:r>
            <w:hyperlink w:history="0" r:id="rId302" w:tooltip="&quot;ОК 028-2012. Общероссийский классификатор организационно-правовых форм&quot; (утв. Приказом Росстандарта от 16.10.2012 N 505-ст) (ред. от 30.07.2025) (вместе с &quot;Пояснениями к позициям ОКОПФ&quot;) {КонсультантПлюс}">
              <w:r>
                <w:rPr>
                  <w:sz w:val="24"/>
                  <w:color w:val="0000ff"/>
                </w:rPr>
                <w:t xml:space="preserve">классификатором</w:t>
              </w:r>
            </w:hyperlink>
            <w:r>
              <w:rPr>
                <w:sz w:val="24"/>
              </w:rPr>
              <w:t xml:space="preserve"> организационно-правовых форм (ОКОПФ)</w:t>
            </w:r>
          </w:p>
        </w:tc>
        <w:tc>
          <w:tcPr>
            <w:tcW w:w="566" w:type="dxa"/>
          </w:tcPr>
          <w:p>
            <w:pPr>
              <w:pStyle w:val="0"/>
            </w:pPr>
            <w:r>
              <w:rPr>
                <w:sz w:val="24"/>
              </w:rPr>
              <w:t xml:space="preserve">8</w:t>
            </w:r>
          </w:p>
        </w:tc>
      </w:tr>
      <w:tr>
        <w:tc>
          <w:tcPr>
            <w:tcW w:w="8503" w:type="dxa"/>
          </w:tcPr>
          <w:p>
            <w:pPr>
              <w:pStyle w:val="0"/>
              <w:jc w:val="both"/>
            </w:pPr>
            <w:r>
              <w:rPr>
                <w:sz w:val="24"/>
              </w:rPr>
              <w:t xml:space="preserve">Код формы собственности медицинской организации в соответствии с Общероссийским </w:t>
            </w:r>
            <w:hyperlink w:history="0" r:id="rId303" w:tooltip="Постановление Госстандарта России от 30.03.1999 N 97 (ред. от 22.09.2023) &quot;О принятии и введении в действие Общероссийских классификаторов&quot; (вместе с &quot;ОК 027-99. Общероссийский классификатор форм собственности&quot;) (дата введения 01.01.2000) {КонсультантПлюс}">
              <w:r>
                <w:rPr>
                  <w:sz w:val="24"/>
                  <w:color w:val="0000ff"/>
                </w:rPr>
                <w:t xml:space="preserve">классификатором</w:t>
              </w:r>
            </w:hyperlink>
            <w:r>
              <w:rPr>
                <w:sz w:val="24"/>
              </w:rPr>
              <w:t xml:space="preserve"> форм собственности (ОКФС)</w:t>
            </w:r>
          </w:p>
        </w:tc>
        <w:tc>
          <w:tcPr>
            <w:tcW w:w="566" w:type="dxa"/>
          </w:tcPr>
          <w:p>
            <w:pPr>
              <w:pStyle w:val="0"/>
            </w:pPr>
            <w:r>
              <w:rPr>
                <w:sz w:val="24"/>
              </w:rPr>
              <w:t xml:space="preserve">9</w:t>
            </w:r>
          </w:p>
        </w:tc>
      </w:tr>
      <w:tr>
        <w:tc>
          <w:tcPr>
            <w:tcW w:w="8503" w:type="dxa"/>
          </w:tcPr>
          <w:p>
            <w:pPr>
              <w:pStyle w:val="0"/>
              <w:jc w:val="both"/>
            </w:pPr>
            <w:r>
              <w:rPr>
                <w:sz w:val="24"/>
              </w:rPr>
              <w:t xml:space="preserve">Сведения об учредителе (учредителях) медицинской организации, являющейся государственным (муниципальным) учреждением</w:t>
            </w:r>
          </w:p>
        </w:tc>
        <w:tc>
          <w:tcPr>
            <w:tcW w:w="566" w:type="dxa"/>
          </w:tcPr>
          <w:p>
            <w:pPr>
              <w:pStyle w:val="0"/>
            </w:pPr>
            <w:r>
              <w:rPr>
                <w:sz w:val="24"/>
              </w:rPr>
              <w:t xml:space="preserve">10</w:t>
            </w:r>
          </w:p>
        </w:tc>
      </w:tr>
      <w:tr>
        <w:tc>
          <w:tcPr>
            <w:tcW w:w="8503" w:type="dxa"/>
          </w:tcPr>
          <w:p>
            <w:pPr>
              <w:pStyle w:val="0"/>
              <w:jc w:val="both"/>
            </w:pPr>
            <w:r>
              <w:rPr>
                <w:sz w:val="24"/>
              </w:rPr>
              <w:t xml:space="preserve">Вид медицинской организации в соответствии с номенклатурой медицинских организаций</w:t>
            </w:r>
          </w:p>
        </w:tc>
        <w:tc>
          <w:tcPr>
            <w:tcW w:w="566" w:type="dxa"/>
          </w:tcPr>
          <w:p>
            <w:pPr>
              <w:pStyle w:val="0"/>
            </w:pPr>
            <w:r>
              <w:rPr>
                <w:sz w:val="24"/>
              </w:rPr>
              <w:t xml:space="preserve">11</w:t>
            </w:r>
          </w:p>
        </w:tc>
      </w:tr>
      <w:tr>
        <w:tc>
          <w:tcPr>
            <w:tcW w:w="8503" w:type="dxa"/>
          </w:tcPr>
          <w:p>
            <w:pPr>
              <w:pStyle w:val="0"/>
              <w:jc w:val="both"/>
            </w:pPr>
            <w:r>
              <w:rPr>
                <w:sz w:val="24"/>
              </w:rPr>
              <w:t xml:space="preserve">Адрес медицинской организации в пределах места нахождения медицинской организации;</w:t>
            </w:r>
          </w:p>
          <w:p>
            <w:pPr>
              <w:pStyle w:val="0"/>
              <w:jc w:val="both"/>
            </w:pPr>
            <w:r>
              <w:rPr>
                <w:sz w:val="24"/>
              </w:rPr>
              <w:t xml:space="preserve">адрес, по которому индивидуальный предприниматель зарегистрирован по месту жительства в установленном законодательством Российской Федерации порядке (для индивидуальных предпринимателей, осуществляющих медицинскую деятельность);</w:t>
            </w:r>
          </w:p>
          <w:p>
            <w:pPr>
              <w:pStyle w:val="0"/>
              <w:jc w:val="both"/>
            </w:pPr>
            <w:r>
              <w:rPr>
                <w:sz w:val="24"/>
              </w:rPr>
              <w:t xml:space="preserve">уникальный номер адреса медицинской организации в пределах места нахождения медицинской организации, адреса, по которому индивидуальный предприниматель зарегистрирован по месту жительства в установленном законодательством Российской Федерации порядке в государственном адресном реестре</w:t>
            </w:r>
          </w:p>
        </w:tc>
        <w:tc>
          <w:tcPr>
            <w:tcW w:w="566" w:type="dxa"/>
          </w:tcPr>
          <w:p>
            <w:pPr>
              <w:pStyle w:val="0"/>
            </w:pPr>
            <w:r>
              <w:rPr>
                <w:sz w:val="24"/>
              </w:rPr>
              <w:t xml:space="preserve">12</w:t>
            </w:r>
          </w:p>
        </w:tc>
      </w:tr>
      <w:tr>
        <w:tc>
          <w:tcPr>
            <w:tcW w:w="8503" w:type="dxa"/>
          </w:tcPr>
          <w:p>
            <w:pPr>
              <w:pStyle w:val="0"/>
              <w:jc w:val="both"/>
            </w:pPr>
            <w:r>
              <w:rPr>
                <w:sz w:val="24"/>
              </w:rPr>
              <w:t xml:space="preserve">Адрес электронной почты, номер телефона медицинской организации (индивидуального предпринимателя, осуществляющего медицинскую деятельность)</w:t>
            </w:r>
          </w:p>
        </w:tc>
        <w:tc>
          <w:tcPr>
            <w:tcW w:w="566" w:type="dxa"/>
          </w:tcPr>
          <w:p>
            <w:pPr>
              <w:pStyle w:val="0"/>
            </w:pPr>
            <w:r>
              <w:rPr>
                <w:sz w:val="24"/>
              </w:rPr>
              <w:t xml:space="preserve">13</w:t>
            </w:r>
          </w:p>
        </w:tc>
      </w:tr>
      <w:tr>
        <w:tc>
          <w:tcPr>
            <w:tcW w:w="8503" w:type="dxa"/>
          </w:tcPr>
          <w:p>
            <w:pPr>
              <w:pStyle w:val="0"/>
              <w:jc w:val="both"/>
            </w:pPr>
            <w:r>
              <w:rPr>
                <w:sz w:val="24"/>
              </w:rPr>
              <w:t xml:space="preserve">Фамилия, имя, отчество (при наличии) руководителя и иных лиц медицинской организации, имеющих право действовать от имени медицинской организации без доверенности (для медицинской организации)</w:t>
            </w:r>
          </w:p>
        </w:tc>
        <w:tc>
          <w:tcPr>
            <w:tcW w:w="566" w:type="dxa"/>
          </w:tcPr>
          <w:p>
            <w:pPr>
              <w:pStyle w:val="0"/>
            </w:pPr>
            <w:r>
              <w:rPr>
                <w:sz w:val="24"/>
              </w:rPr>
              <w:t xml:space="preserve">14</w:t>
            </w:r>
          </w:p>
        </w:tc>
      </w:tr>
      <w:tr>
        <w:tc>
          <w:tcPr>
            <w:tcW w:w="8503" w:type="dxa"/>
          </w:tcPr>
          <w:p>
            <w:pPr>
              <w:pStyle w:val="0"/>
              <w:jc w:val="both"/>
            </w:pPr>
            <w:r>
              <w:rPr>
                <w:sz w:val="24"/>
              </w:rPr>
              <w:t xml:space="preserve">Банковские реквизиты медицинской организации</w:t>
            </w:r>
          </w:p>
        </w:tc>
        <w:tc>
          <w:tcPr>
            <w:tcW w:w="566" w:type="dxa"/>
          </w:tcPr>
          <w:p>
            <w:pPr>
              <w:pStyle w:val="0"/>
            </w:pPr>
            <w:r>
              <w:rPr>
                <w:sz w:val="24"/>
              </w:rPr>
              <w:t xml:space="preserve">15</w:t>
            </w:r>
          </w:p>
        </w:tc>
      </w:tr>
      <w:tr>
        <w:tc>
          <w:tcPr>
            <w:tcW w:w="8503" w:type="dxa"/>
          </w:tcPr>
          <w:p>
            <w:pPr>
              <w:pStyle w:val="0"/>
              <w:jc w:val="both"/>
            </w:pPr>
            <w:r>
              <w:rPr>
                <w:sz w:val="24"/>
              </w:rPr>
              <w:t xml:space="preserve">Сведения о лицензии на осуществление медицинской деятельности</w:t>
            </w:r>
          </w:p>
        </w:tc>
        <w:tc>
          <w:tcPr>
            <w:tcW w:w="566" w:type="dxa"/>
          </w:tcPr>
          <w:p>
            <w:pPr>
              <w:pStyle w:val="0"/>
            </w:pPr>
            <w:r>
              <w:rPr>
                <w:sz w:val="24"/>
              </w:rPr>
              <w:t xml:space="preserve">16</w:t>
            </w:r>
          </w:p>
        </w:tc>
      </w:tr>
      <w:tr>
        <w:tc>
          <w:tcPr>
            <w:tcW w:w="8503" w:type="dxa"/>
          </w:tcPr>
          <w:p>
            <w:pPr>
              <w:pStyle w:val="0"/>
              <w:jc w:val="both"/>
            </w:pPr>
            <w:r>
              <w:rPr>
                <w:sz w:val="24"/>
              </w:rPr>
              <w:t xml:space="preserve">Сведения об обособленных структурных подразделениях медицинской организации, осуществляющих деятельность по реализации территориальной программы субъекта Российской Федерации</w:t>
            </w:r>
          </w:p>
        </w:tc>
        <w:tc>
          <w:tcPr>
            <w:tcW w:w="566" w:type="dxa"/>
          </w:tcPr>
          <w:p>
            <w:pPr>
              <w:pStyle w:val="0"/>
            </w:pPr>
            <w:r>
              <w:rPr>
                <w:sz w:val="24"/>
              </w:rPr>
              <w:t xml:space="preserve">17</w:t>
            </w:r>
          </w:p>
        </w:tc>
      </w:tr>
      <w:tr>
        <w:tc>
          <w:tcPr>
            <w:tcW w:w="8503" w:type="dxa"/>
          </w:tcPr>
          <w:p>
            <w:pPr>
              <w:pStyle w:val="0"/>
              <w:jc w:val="both"/>
            </w:pPr>
            <w:r>
              <w:rPr>
                <w:sz w:val="24"/>
              </w:rPr>
              <w:t xml:space="preserve">Сведения об адресах оказания медицинской помощи на территории субъекта Российской Федерации, расположенных по данным адресам обособленных структурных подразделений медицинской организации и (или) наименованиях структурных подразделений медицинской организации, расположенных по данным адресам (при наличии), уникальные номера адресов оказания медицинской помощи в государственном адресном реестре</w:t>
            </w:r>
          </w:p>
        </w:tc>
        <w:tc>
          <w:tcPr>
            <w:tcW w:w="566" w:type="dxa"/>
          </w:tcPr>
          <w:p>
            <w:pPr>
              <w:pStyle w:val="0"/>
            </w:pPr>
            <w:r>
              <w:rPr>
                <w:sz w:val="24"/>
              </w:rPr>
              <w:t xml:space="preserve">18</w:t>
            </w:r>
          </w:p>
        </w:tc>
      </w:tr>
      <w:tr>
        <w:tc>
          <w:tcPr>
            <w:tcW w:w="8503" w:type="dxa"/>
          </w:tcPr>
          <w:p>
            <w:pPr>
              <w:pStyle w:val="0"/>
              <w:jc w:val="both"/>
            </w:pPr>
            <w:r>
              <w:rPr>
                <w:sz w:val="24"/>
              </w:rPr>
              <w:t xml:space="preserve">Мощность коечного фонда медицинской организации и количество врачей, участвующих в оказании первичной медико-санитарной помощи, в разрезе профилей и адресов оказания медицинской помощи, в том числе с выделением мощности, заявляемой для реализации территориальной программы</w:t>
            </w:r>
          </w:p>
        </w:tc>
        <w:tc>
          <w:tcPr>
            <w:tcW w:w="566" w:type="dxa"/>
          </w:tcPr>
          <w:p>
            <w:pPr>
              <w:pStyle w:val="0"/>
            </w:pPr>
            <w:r>
              <w:rPr>
                <w:sz w:val="24"/>
              </w:rPr>
              <w:t xml:space="preserve">19</w:t>
            </w:r>
          </w:p>
        </w:tc>
      </w:tr>
      <w:tr>
        <w:tc>
          <w:tcPr>
            <w:tcW w:w="8503" w:type="dxa"/>
          </w:tcPr>
          <w:p>
            <w:pPr>
              <w:pStyle w:val="0"/>
              <w:jc w:val="both"/>
            </w:pPr>
            <w:r>
              <w:rPr>
                <w:sz w:val="24"/>
              </w:rPr>
              <w:t xml:space="preserve">Дата включения медицинской организации в реестр медицинских организаций, осуществляющих деятельность в сфере обязательного медицинского страхования, на соответствующий финансовый год</w:t>
            </w:r>
          </w:p>
        </w:tc>
        <w:tc>
          <w:tcPr>
            <w:tcW w:w="566" w:type="dxa"/>
          </w:tcPr>
          <w:p>
            <w:pPr>
              <w:pStyle w:val="0"/>
            </w:pPr>
            <w:r>
              <w:rPr>
                <w:sz w:val="24"/>
              </w:rPr>
              <w:t xml:space="preserve">20</w:t>
            </w:r>
          </w:p>
        </w:tc>
      </w:tr>
      <w:tr>
        <w:tc>
          <w:tcPr>
            <w:tcW w:w="8503" w:type="dxa"/>
          </w:tcPr>
          <w:p>
            <w:pPr>
              <w:pStyle w:val="0"/>
              <w:jc w:val="both"/>
            </w:pPr>
            <w:r>
              <w:rPr>
                <w:sz w:val="24"/>
              </w:rPr>
              <w:t xml:space="preserve">Основание включения медицинской организации в реестр медицинских организаций, осуществляющих деятельность в сфере обязательного медицинского страхования, на соответствующий финансовый год</w:t>
            </w:r>
          </w:p>
        </w:tc>
        <w:tc>
          <w:tcPr>
            <w:tcW w:w="566" w:type="dxa"/>
          </w:tcPr>
          <w:p>
            <w:pPr>
              <w:pStyle w:val="0"/>
            </w:pPr>
            <w:r>
              <w:rPr>
                <w:sz w:val="24"/>
              </w:rPr>
              <w:t xml:space="preserve">21</w:t>
            </w:r>
          </w:p>
        </w:tc>
      </w:tr>
      <w:tr>
        <w:tc>
          <w:tcPr>
            <w:tcW w:w="8503" w:type="dxa"/>
          </w:tcPr>
          <w:p>
            <w:pPr>
              <w:pStyle w:val="0"/>
              <w:jc w:val="both"/>
            </w:pPr>
            <w:r>
              <w:rPr>
                <w:sz w:val="24"/>
              </w:rPr>
              <w:t xml:space="preserve">Виды, условия и профили медицинской помощи, оказываемой медицинской организацией в рамках территориальной программы обязательного медицинского страхования, в том числе в разрезе обособленных структурных подразделений медицинской организации (при наличии)</w:t>
            </w:r>
          </w:p>
        </w:tc>
        <w:tc>
          <w:tcPr>
            <w:tcW w:w="566" w:type="dxa"/>
          </w:tcPr>
          <w:p>
            <w:pPr>
              <w:pStyle w:val="0"/>
            </w:pPr>
            <w:r>
              <w:rPr>
                <w:sz w:val="24"/>
              </w:rPr>
              <w:t xml:space="preserve">22</w:t>
            </w:r>
          </w:p>
        </w:tc>
      </w:tr>
      <w:tr>
        <w:tc>
          <w:tcPr>
            <w:tcW w:w="8503" w:type="dxa"/>
          </w:tcPr>
          <w:p>
            <w:pPr>
              <w:pStyle w:val="0"/>
              <w:jc w:val="both"/>
            </w:pPr>
            <w:r>
              <w:rPr>
                <w:sz w:val="24"/>
              </w:rPr>
              <w:t xml:space="preserve">Сведения о договоре на оказание и оплату медицинской помощи по обязательному медицинскому страхованию, заключенном с медицинской организацией</w:t>
            </w:r>
          </w:p>
        </w:tc>
        <w:tc>
          <w:tcPr>
            <w:tcW w:w="566" w:type="dxa"/>
          </w:tcPr>
          <w:p>
            <w:pPr>
              <w:pStyle w:val="0"/>
            </w:pPr>
            <w:r>
              <w:rPr>
                <w:sz w:val="24"/>
              </w:rPr>
              <w:t xml:space="preserve">23</w:t>
            </w:r>
          </w:p>
        </w:tc>
      </w:tr>
      <w:tr>
        <w:tc>
          <w:tcPr>
            <w:tcW w:w="8503" w:type="dxa"/>
          </w:tcPr>
          <w:p>
            <w:pPr>
              <w:pStyle w:val="0"/>
              <w:jc w:val="both"/>
            </w:pPr>
            <w:r>
              <w:rPr>
                <w:sz w:val="24"/>
              </w:rPr>
              <w:t xml:space="preserve">Сведения об объемах оказания медицинской помощи и о ее финансовом обеспечении, распределенных медицинской организации решением Комиссии по разработке территориальной программы обязательного медицинского страхования, в том числе в разрезе обособленных структурных подразделений медицинской организации (при наличии)</w:t>
            </w:r>
          </w:p>
        </w:tc>
        <w:tc>
          <w:tcPr>
            <w:tcW w:w="566" w:type="dxa"/>
          </w:tcPr>
          <w:p>
            <w:pPr>
              <w:pStyle w:val="0"/>
            </w:pPr>
            <w:r>
              <w:rPr>
                <w:sz w:val="24"/>
              </w:rPr>
              <w:t xml:space="preserve">24</w:t>
            </w:r>
          </w:p>
        </w:tc>
      </w:tr>
      <w:tr>
        <w:tc>
          <w:tcPr>
            <w:tcW w:w="8503" w:type="dxa"/>
          </w:tcPr>
          <w:p>
            <w:pPr>
              <w:pStyle w:val="0"/>
              <w:jc w:val="both"/>
            </w:pPr>
            <w:r>
              <w:rPr>
                <w:sz w:val="24"/>
              </w:rPr>
              <w:t xml:space="preserve">Сведения о способах оплаты медицинской помощи, установленных для медицинской организации в тарифном соглашении субъекта Российской Федерации, в том числе в разрезе обособленных структурных подразделений медицинской организации (при наличии)</w:t>
            </w:r>
          </w:p>
        </w:tc>
        <w:tc>
          <w:tcPr>
            <w:tcW w:w="566" w:type="dxa"/>
          </w:tcPr>
          <w:p>
            <w:pPr>
              <w:pStyle w:val="0"/>
            </w:pPr>
            <w:r>
              <w:rPr>
                <w:sz w:val="24"/>
              </w:rPr>
              <w:t xml:space="preserve">25</w:t>
            </w:r>
          </w:p>
        </w:tc>
      </w:tr>
      <w:tr>
        <w:tc>
          <w:tcPr>
            <w:tcW w:w="8503" w:type="dxa"/>
          </w:tcPr>
          <w:p>
            <w:pPr>
              <w:pStyle w:val="0"/>
              <w:jc w:val="both"/>
            </w:pPr>
            <w:r>
              <w:rPr>
                <w:sz w:val="24"/>
              </w:rPr>
              <w:t xml:space="preserve">Сведения о тарифах на оплату медицинской помощи, а также элементах структур тарифов на оплату медицинской помощи, установленных для медицинской организации (обособленных структурных подразделений медицинской организации) в тарифном соглашении субъекта Российской Федерации</w:t>
            </w:r>
          </w:p>
        </w:tc>
        <w:tc>
          <w:tcPr>
            <w:tcW w:w="566" w:type="dxa"/>
          </w:tcPr>
          <w:p>
            <w:pPr>
              <w:pStyle w:val="0"/>
            </w:pPr>
            <w:r>
              <w:rPr>
                <w:sz w:val="24"/>
              </w:rPr>
              <w:t xml:space="preserve">26</w:t>
            </w:r>
          </w:p>
        </w:tc>
      </w:tr>
      <w:tr>
        <w:tc>
          <w:tcPr>
            <w:tcW w:w="8503" w:type="dxa"/>
          </w:tcPr>
          <w:p>
            <w:pPr>
              <w:pStyle w:val="0"/>
              <w:jc w:val="both"/>
            </w:pPr>
            <w:r>
              <w:rPr>
                <w:sz w:val="24"/>
              </w:rPr>
              <w:t xml:space="preserve">Фактические показатели деятельности медицинской организации в рамках реализации территориальной программы субъекта Российской Федерации на соответствующий финансовый год, в том числе в разрезе обособленных структурных подразделений медицинской организации (при наличии)</w:t>
            </w:r>
          </w:p>
        </w:tc>
        <w:tc>
          <w:tcPr>
            <w:tcW w:w="566" w:type="dxa"/>
          </w:tcPr>
          <w:p>
            <w:pPr>
              <w:pStyle w:val="0"/>
            </w:pPr>
            <w:r>
              <w:rPr>
                <w:sz w:val="24"/>
              </w:rPr>
              <w:t xml:space="preserve">27</w:t>
            </w:r>
          </w:p>
        </w:tc>
      </w:tr>
      <w:tr>
        <w:tc>
          <w:tcPr>
            <w:tcW w:w="8503" w:type="dxa"/>
          </w:tcPr>
          <w:p>
            <w:pPr>
              <w:pStyle w:val="0"/>
              <w:jc w:val="both"/>
            </w:pPr>
            <w:r>
              <w:rPr>
                <w:sz w:val="24"/>
              </w:rPr>
              <w:t xml:space="preserve">Дата исключения медицинской организации из реестра медицинских организаций, осуществляющих деятельность в сфере обязательного страхования, в соответствующем финансовом году</w:t>
            </w:r>
          </w:p>
        </w:tc>
        <w:tc>
          <w:tcPr>
            <w:tcW w:w="566" w:type="dxa"/>
          </w:tcPr>
          <w:p>
            <w:pPr>
              <w:pStyle w:val="0"/>
            </w:pPr>
            <w:r>
              <w:rPr>
                <w:sz w:val="24"/>
              </w:rPr>
              <w:t xml:space="preserve">28</w:t>
            </w:r>
          </w:p>
        </w:tc>
      </w:tr>
      <w:tr>
        <w:tc>
          <w:tcPr>
            <w:tcW w:w="8503" w:type="dxa"/>
          </w:tcPr>
          <w:p>
            <w:pPr>
              <w:pStyle w:val="0"/>
              <w:jc w:val="both"/>
            </w:pPr>
            <w:r>
              <w:rPr>
                <w:sz w:val="24"/>
              </w:rPr>
              <w:t xml:space="preserve">Причина и основание исключения медицинской организации из реестра медицинских организаций, осуществляющих деятельность в сфере обязательного страхования, в соответствующем финансовом году</w:t>
            </w:r>
          </w:p>
        </w:tc>
        <w:tc>
          <w:tcPr>
            <w:tcW w:w="566" w:type="dxa"/>
          </w:tcPr>
          <w:p>
            <w:pPr>
              <w:pStyle w:val="0"/>
            </w:pPr>
            <w:r>
              <w:rPr>
                <w:sz w:val="24"/>
              </w:rPr>
              <w:t xml:space="preserve">29</w:t>
            </w:r>
          </w:p>
        </w:tc>
      </w:tr>
    </w:tbl>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1"/>
        <w:jc w:val="right"/>
      </w:pPr>
      <w:r>
        <w:rPr>
          <w:sz w:val="24"/>
        </w:rPr>
        <w:t xml:space="preserve">Приложение N 7</w:t>
      </w:r>
    </w:p>
    <w:p>
      <w:pPr>
        <w:pStyle w:val="0"/>
        <w:jc w:val="right"/>
      </w:pPr>
      <w:r>
        <w:rPr>
          <w:sz w:val="24"/>
        </w:rPr>
        <w:t xml:space="preserve">к Правилам обязательного медицинского</w:t>
      </w:r>
    </w:p>
    <w:p>
      <w:pPr>
        <w:pStyle w:val="0"/>
        <w:jc w:val="right"/>
      </w:pPr>
      <w:r>
        <w:rPr>
          <w:sz w:val="24"/>
        </w:rPr>
        <w:t xml:space="preserve">страхования, утвержденным приказом</w:t>
      </w:r>
    </w:p>
    <w:p>
      <w:pPr>
        <w:pStyle w:val="0"/>
        <w:jc w:val="right"/>
      </w:pPr>
      <w:r>
        <w:rPr>
          <w:sz w:val="24"/>
        </w:rPr>
        <w:t xml:space="preserve">Министерства здравоохранения</w:t>
      </w:r>
    </w:p>
    <w:p>
      <w:pPr>
        <w:pStyle w:val="0"/>
        <w:jc w:val="right"/>
      </w:pPr>
      <w:r>
        <w:rPr>
          <w:sz w:val="24"/>
        </w:rPr>
        <w:t xml:space="preserve">Российской Федерации</w:t>
      </w:r>
    </w:p>
    <w:p>
      <w:pPr>
        <w:pStyle w:val="0"/>
        <w:jc w:val="right"/>
      </w:pPr>
      <w:r>
        <w:rPr>
          <w:sz w:val="24"/>
        </w:rPr>
        <w:t xml:space="preserve">от 21 августа 2025 г. N 496н</w:t>
      </w:r>
    </w:p>
    <w:p>
      <w:pPr>
        <w:pStyle w:val="0"/>
        <w:jc w:val="both"/>
      </w:pPr>
      <w:r>
        <w:rPr>
          <w:sz w:val="24"/>
        </w:rPr>
      </w:r>
    </w:p>
    <w:p>
      <w:pPr>
        <w:pStyle w:val="0"/>
        <w:jc w:val="right"/>
      </w:pPr>
      <w:r>
        <w:rPr>
          <w:sz w:val="24"/>
        </w:rPr>
        <w:t xml:space="preserve">Форма</w:t>
      </w:r>
    </w:p>
    <w:p>
      <w:pPr>
        <w:pStyle w:val="0"/>
        <w:jc w:val="both"/>
      </w:pPr>
      <w:r>
        <w:rPr>
          <w:sz w:val="24"/>
        </w:rPr>
      </w:r>
    </w:p>
    <w:bookmarkStart w:id="2414" w:name="P2414"/>
    <w:bookmarkEnd w:id="2414"/>
    <w:p>
      <w:pPr>
        <w:pStyle w:val="1"/>
        <w:jc w:val="both"/>
      </w:pPr>
      <w:r>
        <w:rPr>
          <w:sz w:val="20"/>
        </w:rPr>
        <w:t xml:space="preserve">                                УВЕДОМЛЕНИЕ</w:t>
      </w:r>
    </w:p>
    <w:p>
      <w:pPr>
        <w:pStyle w:val="1"/>
        <w:jc w:val="both"/>
      </w:pPr>
      <w:r>
        <w:rPr>
          <w:sz w:val="20"/>
        </w:rPr>
        <w:t xml:space="preserve">               о включении медицинской организации в реестр</w:t>
      </w:r>
    </w:p>
    <w:p>
      <w:pPr>
        <w:pStyle w:val="1"/>
        <w:jc w:val="both"/>
      </w:pPr>
      <w:r>
        <w:rPr>
          <w:sz w:val="20"/>
        </w:rPr>
        <w:t xml:space="preserve">       медицинских организаций, осуществляющих деятельность в сфере</w:t>
      </w:r>
    </w:p>
    <w:p>
      <w:pPr>
        <w:pStyle w:val="1"/>
        <w:jc w:val="both"/>
      </w:pPr>
      <w:r>
        <w:rPr>
          <w:sz w:val="20"/>
        </w:rPr>
        <w:t xml:space="preserve">         обязательного медицинского страхования по территориальной</w:t>
      </w:r>
    </w:p>
    <w:p>
      <w:pPr>
        <w:pStyle w:val="1"/>
        <w:jc w:val="both"/>
      </w:pPr>
      <w:r>
        <w:rPr>
          <w:sz w:val="20"/>
        </w:rPr>
        <w:t xml:space="preserve">             программе обязательного медицинского страхования</w:t>
      </w:r>
    </w:p>
    <w:p>
      <w:pPr>
        <w:pStyle w:val="1"/>
        <w:jc w:val="both"/>
      </w:pPr>
      <w:r>
        <w:rPr>
          <w:sz w:val="20"/>
        </w:rPr>
      </w:r>
    </w:p>
    <w:p>
      <w:pPr>
        <w:pStyle w:val="1"/>
        <w:jc w:val="both"/>
      </w:pPr>
      <w:r>
        <w:rPr>
          <w:sz w:val="20"/>
        </w:rPr>
        <w:t xml:space="preserve">Наименование</w:t>
      </w:r>
    </w:p>
    <w:p>
      <w:pPr>
        <w:pStyle w:val="1"/>
        <w:jc w:val="both"/>
      </w:pPr>
      <w:r>
        <w:rPr>
          <w:sz w:val="20"/>
        </w:rPr>
        <w:t xml:space="preserve">территориального</w:t>
      </w:r>
    </w:p>
    <w:p>
      <w:pPr>
        <w:pStyle w:val="1"/>
        <w:jc w:val="both"/>
      </w:pPr>
      <w:r>
        <w:rPr>
          <w:sz w:val="20"/>
        </w:rPr>
        <w:t xml:space="preserve">фонда</w:t>
      </w:r>
    </w:p>
    <w:p>
      <w:pPr>
        <w:pStyle w:val="1"/>
        <w:jc w:val="both"/>
      </w:pPr>
      <w:r>
        <w:rPr>
          <w:sz w:val="20"/>
        </w:rPr>
        <w:t xml:space="preserve">обязательного</w:t>
      </w:r>
    </w:p>
    <w:p>
      <w:pPr>
        <w:pStyle w:val="1"/>
        <w:jc w:val="both"/>
      </w:pPr>
      <w:r>
        <w:rPr>
          <w:sz w:val="20"/>
        </w:rPr>
        <w:t xml:space="preserve">медицинского</w:t>
      </w:r>
    </w:p>
    <w:p>
      <w:pPr>
        <w:pStyle w:val="1"/>
        <w:jc w:val="both"/>
      </w:pPr>
      <w:r>
        <w:rPr>
          <w:sz w:val="20"/>
        </w:rPr>
        <w:t xml:space="preserve">страхования    ____________________________________________________________</w:t>
      </w:r>
    </w:p>
    <w:p>
      <w:pPr>
        <w:pStyle w:val="1"/>
        <w:jc w:val="both"/>
      </w:pPr>
      <w:r>
        <w:rPr>
          <w:sz w:val="20"/>
        </w:rPr>
      </w:r>
    </w:p>
    <w:p>
      <w:pPr>
        <w:pStyle w:val="1"/>
        <w:jc w:val="both"/>
      </w:pPr>
      <w:r>
        <w:rPr>
          <w:sz w:val="20"/>
        </w:rPr>
        <w:t xml:space="preserve">Наименование</w:t>
      </w:r>
    </w:p>
    <w:p>
      <w:pPr>
        <w:pStyle w:val="1"/>
        <w:jc w:val="both"/>
      </w:pPr>
      <w:r>
        <w:rPr>
          <w:sz w:val="20"/>
        </w:rPr>
        <w:t xml:space="preserve">медицинской</w:t>
      </w:r>
    </w:p>
    <w:p>
      <w:pPr>
        <w:pStyle w:val="1"/>
        <w:jc w:val="both"/>
      </w:pPr>
      <w:r>
        <w:rPr>
          <w:sz w:val="20"/>
        </w:rPr>
        <w:t xml:space="preserve">организации    ____________________________________________________________</w:t>
      </w:r>
    </w:p>
    <w:p>
      <w:pPr>
        <w:pStyle w:val="1"/>
        <w:jc w:val="both"/>
      </w:pPr>
      <w:r>
        <w:rPr>
          <w:sz w:val="20"/>
        </w:rPr>
      </w:r>
    </w:p>
    <w:p>
      <w:pPr>
        <w:pStyle w:val="1"/>
        <w:jc w:val="both"/>
      </w:pPr>
      <w:r>
        <w:rPr>
          <w:sz w:val="20"/>
        </w:rPr>
        <w:t xml:space="preserve">    Прошу включить ____________________________________________________</w:t>
      </w:r>
    </w:p>
    <w:p>
      <w:pPr>
        <w:pStyle w:val="1"/>
        <w:jc w:val="both"/>
      </w:pPr>
      <w:r>
        <w:rPr>
          <w:sz w:val="20"/>
        </w:rPr>
        <w:t xml:space="preserve">                    (полное или сокращенное (при наличии) наименование</w:t>
      </w:r>
    </w:p>
    <w:p>
      <w:pPr>
        <w:pStyle w:val="1"/>
        <w:jc w:val="both"/>
      </w:pPr>
      <w:r>
        <w:rPr>
          <w:sz w:val="20"/>
        </w:rPr>
        <w:t xml:space="preserve">                                медицинской организации)</w:t>
      </w:r>
    </w:p>
    <w:p>
      <w:pPr>
        <w:pStyle w:val="1"/>
        <w:jc w:val="both"/>
      </w:pPr>
      <w:r>
        <w:rPr>
          <w:sz w:val="20"/>
        </w:rPr>
        <w:t xml:space="preserve">       в реестр медицинских организаций, осуществляющих деятельность</w:t>
      </w:r>
    </w:p>
    <w:p>
      <w:pPr>
        <w:pStyle w:val="1"/>
        <w:jc w:val="both"/>
      </w:pPr>
      <w:r>
        <w:rPr>
          <w:sz w:val="20"/>
        </w:rPr>
        <w:t xml:space="preserve">     в сфере обязательного медицинского страхования по территориальной</w:t>
      </w:r>
    </w:p>
    <w:p>
      <w:pPr>
        <w:pStyle w:val="1"/>
        <w:jc w:val="both"/>
      </w:pPr>
      <w:r>
        <w:rPr>
          <w:sz w:val="20"/>
        </w:rPr>
        <w:t xml:space="preserve">             программе обязательного медицинского страхования</w:t>
      </w:r>
    </w:p>
    <w:p>
      <w:pPr>
        <w:pStyle w:val="1"/>
        <w:jc w:val="both"/>
      </w:pPr>
      <w:r>
        <w:rPr>
          <w:sz w:val="20"/>
        </w:rPr>
        <w:t xml:space="preserve">              ______________________________________________</w:t>
      </w:r>
    </w:p>
    <w:p>
      <w:pPr>
        <w:pStyle w:val="1"/>
        <w:jc w:val="both"/>
      </w:pPr>
      <w:r>
        <w:rPr>
          <w:sz w:val="20"/>
        </w:rPr>
        <w:t xml:space="preserve">               (наименование субъекта Российской Федерации)</w:t>
      </w:r>
    </w:p>
    <w:p>
      <w:pPr>
        <w:pStyle w:val="1"/>
        <w:jc w:val="both"/>
      </w:pPr>
      <w:r>
        <w:rPr>
          <w:sz w:val="20"/>
        </w:rPr>
      </w:r>
    </w:p>
    <w:p>
      <w:pPr>
        <w:pStyle w:val="1"/>
        <w:jc w:val="both"/>
      </w:pPr>
      <w:r>
        <w:rPr>
          <w:sz w:val="20"/>
        </w:rPr>
        <w:t xml:space="preserve">         Сведения о медицинской организации для включения в реестр</w:t>
      </w:r>
    </w:p>
    <w:p>
      <w:pPr>
        <w:pStyle w:val="1"/>
        <w:jc w:val="both"/>
      </w:pPr>
      <w:r>
        <w:rPr>
          <w:sz w:val="20"/>
        </w:rPr>
        <w:t xml:space="preserve">       медицинских организаций, осуществляющих деятельность в сфере</w:t>
      </w:r>
    </w:p>
    <w:p>
      <w:pPr>
        <w:pStyle w:val="1"/>
        <w:jc w:val="both"/>
      </w:pPr>
      <w:r>
        <w:rPr>
          <w:sz w:val="20"/>
        </w:rPr>
        <w:t xml:space="preserve">         обязательного медицинского страхования по территориальной</w:t>
      </w:r>
    </w:p>
    <w:p>
      <w:pPr>
        <w:pStyle w:val="1"/>
        <w:jc w:val="both"/>
      </w:pPr>
      <w:r>
        <w:rPr>
          <w:sz w:val="20"/>
        </w:rPr>
        <w:t xml:space="preserve">             программе обязательного медицинского страхования</w:t>
      </w:r>
    </w:p>
    <w:p>
      <w:pPr>
        <w:pStyle w:val="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6350"/>
        <w:gridCol w:w="567"/>
        <w:gridCol w:w="2154"/>
      </w:tblGrid>
      <w:tr>
        <w:tc>
          <w:tcPr>
            <w:tcW w:w="6350" w:type="dxa"/>
            <w:vAlign w:val="center"/>
          </w:tcPr>
          <w:p>
            <w:pPr>
              <w:pStyle w:val="0"/>
            </w:pPr>
            <w:r>
              <w:rPr>
                <w:sz w:val="24"/>
              </w:rPr>
              <w:t xml:space="preserve">Полное и сокращенное (при наличии) наименования медицинской организации в соответствии со сведениями единого государственного реестра юридических лиц (ЕГРЮЛ)</w:t>
            </w:r>
          </w:p>
        </w:tc>
        <w:tc>
          <w:tcPr>
            <w:tcW w:w="567" w:type="dxa"/>
            <w:vAlign w:val="center"/>
          </w:tcPr>
          <w:p>
            <w:pPr>
              <w:pStyle w:val="0"/>
              <w:jc w:val="center"/>
            </w:pPr>
            <w:r>
              <w:rPr>
                <w:sz w:val="24"/>
              </w:rPr>
              <w:t xml:space="preserve">1</w:t>
            </w:r>
          </w:p>
        </w:tc>
        <w:tc>
          <w:tcPr>
            <w:tcW w:w="2154" w:type="dxa"/>
            <w:vAlign w:val="center"/>
          </w:tcPr>
          <w:p>
            <w:pPr>
              <w:pStyle w:val="0"/>
            </w:pPr>
            <w:r>
              <w:rPr>
                <w:sz w:val="24"/>
              </w:rPr>
            </w:r>
          </w:p>
        </w:tc>
      </w:tr>
      <w:tr>
        <w:tc>
          <w:tcPr>
            <w:tcW w:w="6350" w:type="dxa"/>
            <w:vAlign w:val="center"/>
          </w:tcPr>
          <w:p>
            <w:pPr>
              <w:pStyle w:val="0"/>
            </w:pPr>
            <w:r>
              <w:rPr>
                <w:sz w:val="24"/>
              </w:rPr>
              <w:t xml:space="preserve">Идентификационный номер налогоплательщика (ИНН) медицинской организации в соответствии со свидетельством о постановке на учет в налоговом органе</w:t>
            </w:r>
          </w:p>
        </w:tc>
        <w:tc>
          <w:tcPr>
            <w:tcW w:w="567" w:type="dxa"/>
            <w:vAlign w:val="center"/>
          </w:tcPr>
          <w:p>
            <w:pPr>
              <w:pStyle w:val="0"/>
              <w:jc w:val="center"/>
            </w:pPr>
            <w:r>
              <w:rPr>
                <w:sz w:val="24"/>
              </w:rPr>
              <w:t xml:space="preserve">2</w:t>
            </w:r>
          </w:p>
        </w:tc>
        <w:tc>
          <w:tcPr>
            <w:tcW w:w="2154" w:type="dxa"/>
            <w:vAlign w:val="center"/>
          </w:tcPr>
          <w:p>
            <w:pPr>
              <w:pStyle w:val="0"/>
            </w:pPr>
            <w:r>
              <w:rPr>
                <w:sz w:val="24"/>
              </w:rPr>
            </w:r>
          </w:p>
        </w:tc>
      </w:tr>
      <w:tr>
        <w:tc>
          <w:tcPr>
            <w:tcW w:w="6350" w:type="dxa"/>
            <w:vAlign w:val="center"/>
          </w:tcPr>
          <w:p>
            <w:pPr>
              <w:pStyle w:val="0"/>
            </w:pPr>
            <w:r>
              <w:rPr>
                <w:sz w:val="24"/>
              </w:rPr>
              <w:t xml:space="preserve">Код причины постановки на учет (КПП) медицинской организации в соответствии со свидетельством о постановке на учет в налоговом органе</w:t>
            </w:r>
          </w:p>
        </w:tc>
        <w:tc>
          <w:tcPr>
            <w:tcW w:w="567" w:type="dxa"/>
            <w:vAlign w:val="center"/>
          </w:tcPr>
          <w:p>
            <w:pPr>
              <w:pStyle w:val="0"/>
              <w:jc w:val="center"/>
            </w:pPr>
            <w:r>
              <w:rPr>
                <w:sz w:val="24"/>
              </w:rPr>
              <w:t xml:space="preserve">3</w:t>
            </w:r>
          </w:p>
        </w:tc>
        <w:tc>
          <w:tcPr>
            <w:tcW w:w="2154" w:type="dxa"/>
            <w:vAlign w:val="center"/>
          </w:tcPr>
          <w:p>
            <w:pPr>
              <w:pStyle w:val="0"/>
            </w:pPr>
            <w:r>
              <w:rPr>
                <w:sz w:val="24"/>
              </w:rPr>
            </w:r>
          </w:p>
        </w:tc>
      </w:tr>
      <w:tr>
        <w:tc>
          <w:tcPr>
            <w:tcW w:w="6350" w:type="dxa"/>
            <w:vAlign w:val="center"/>
          </w:tcPr>
          <w:p>
            <w:pPr>
              <w:pStyle w:val="0"/>
            </w:pPr>
            <w:r>
              <w:rPr>
                <w:sz w:val="24"/>
              </w:rPr>
              <w:t xml:space="preserve">Основной государственный регистрационный номер записи о создании юридического лица (ОГРН) медицинской организации</w:t>
            </w:r>
          </w:p>
        </w:tc>
        <w:tc>
          <w:tcPr>
            <w:tcW w:w="567" w:type="dxa"/>
            <w:vAlign w:val="center"/>
          </w:tcPr>
          <w:p>
            <w:pPr>
              <w:pStyle w:val="0"/>
              <w:jc w:val="center"/>
            </w:pPr>
            <w:r>
              <w:rPr>
                <w:sz w:val="24"/>
              </w:rPr>
              <w:t xml:space="preserve">4</w:t>
            </w:r>
          </w:p>
        </w:tc>
        <w:tc>
          <w:tcPr>
            <w:tcW w:w="2154" w:type="dxa"/>
            <w:vAlign w:val="center"/>
          </w:tcPr>
          <w:p>
            <w:pPr>
              <w:pStyle w:val="0"/>
            </w:pPr>
            <w:r>
              <w:rPr>
                <w:sz w:val="24"/>
              </w:rPr>
            </w:r>
          </w:p>
        </w:tc>
      </w:tr>
      <w:tr>
        <w:tc>
          <w:tcPr>
            <w:tcW w:w="6350" w:type="dxa"/>
            <w:vAlign w:val="center"/>
          </w:tcPr>
          <w:p>
            <w:pPr>
              <w:pStyle w:val="0"/>
            </w:pPr>
            <w:r>
              <w:rPr>
                <w:sz w:val="24"/>
              </w:rPr>
              <w:t xml:space="preserve">Код организационно-правовой формы медицинской организации в соответствии с Общероссийским </w:t>
            </w:r>
            <w:hyperlink w:history="0" r:id="rId304" w:tooltip="&quot;ОК 028-2012. Общероссийский классификатор организационно-правовых форм&quot; (утв. Приказом Росстандарта от 16.10.2012 N 505-ст) (ред. от 30.07.2025) (вместе с &quot;Пояснениями к позициям ОКОПФ&quot;) {КонсультантПлюс}">
              <w:r>
                <w:rPr>
                  <w:sz w:val="24"/>
                  <w:color w:val="0000ff"/>
                </w:rPr>
                <w:t xml:space="preserve">классификатором</w:t>
              </w:r>
            </w:hyperlink>
            <w:r>
              <w:rPr>
                <w:sz w:val="24"/>
              </w:rPr>
              <w:t xml:space="preserve"> организационно-правовых форм (ОКОПФ)</w:t>
            </w:r>
          </w:p>
        </w:tc>
        <w:tc>
          <w:tcPr>
            <w:tcW w:w="567" w:type="dxa"/>
            <w:vAlign w:val="center"/>
          </w:tcPr>
          <w:p>
            <w:pPr>
              <w:pStyle w:val="0"/>
              <w:jc w:val="center"/>
            </w:pPr>
            <w:r>
              <w:rPr>
                <w:sz w:val="24"/>
              </w:rPr>
              <w:t xml:space="preserve">5</w:t>
            </w:r>
          </w:p>
        </w:tc>
        <w:tc>
          <w:tcPr>
            <w:tcW w:w="2154" w:type="dxa"/>
            <w:vAlign w:val="center"/>
          </w:tcPr>
          <w:p>
            <w:pPr>
              <w:pStyle w:val="0"/>
            </w:pPr>
            <w:r>
              <w:rPr>
                <w:sz w:val="24"/>
              </w:rPr>
            </w:r>
          </w:p>
        </w:tc>
      </w:tr>
      <w:tr>
        <w:tc>
          <w:tcPr>
            <w:tcW w:w="6350" w:type="dxa"/>
            <w:vAlign w:val="center"/>
          </w:tcPr>
          <w:p>
            <w:pPr>
              <w:pStyle w:val="0"/>
            </w:pPr>
            <w:r>
              <w:rPr>
                <w:sz w:val="24"/>
              </w:rPr>
              <w:t xml:space="preserve">Идентификационный номер медицинской организации в федеральном реестре медицинских и фармацевтических организаций</w:t>
            </w:r>
          </w:p>
        </w:tc>
        <w:tc>
          <w:tcPr>
            <w:tcW w:w="567" w:type="dxa"/>
            <w:vAlign w:val="center"/>
          </w:tcPr>
          <w:p>
            <w:pPr>
              <w:pStyle w:val="0"/>
              <w:jc w:val="center"/>
            </w:pPr>
            <w:r>
              <w:rPr>
                <w:sz w:val="24"/>
              </w:rPr>
              <w:t xml:space="preserve">6</w:t>
            </w:r>
          </w:p>
        </w:tc>
        <w:tc>
          <w:tcPr>
            <w:tcW w:w="2154" w:type="dxa"/>
            <w:vAlign w:val="center"/>
          </w:tcPr>
          <w:p>
            <w:pPr>
              <w:pStyle w:val="0"/>
            </w:pPr>
            <w:r>
              <w:rPr>
                <w:sz w:val="24"/>
              </w:rPr>
            </w:r>
          </w:p>
        </w:tc>
      </w:tr>
      <w:tr>
        <w:tc>
          <w:tcPr>
            <w:tcW w:w="6350" w:type="dxa"/>
            <w:vAlign w:val="center"/>
          </w:tcPr>
          <w:p>
            <w:pPr>
              <w:pStyle w:val="0"/>
            </w:pPr>
            <w:r>
              <w:rPr>
                <w:sz w:val="24"/>
              </w:rPr>
              <w:t xml:space="preserve">Код формы собственности медицинской организации в соответствии с Общероссийским </w:t>
            </w:r>
            <w:hyperlink w:history="0" r:id="rId305" w:tooltip="Постановление Госстандарта России от 30.03.1999 N 97 (ред. от 22.09.2023) &quot;О принятии и введении в действие Общероссийских классификаторов&quot; (вместе с &quot;ОК 027-99. Общероссийский классификатор форм собственности&quot;) (дата введения 01.01.2000) {КонсультантПлюс}">
              <w:r>
                <w:rPr>
                  <w:sz w:val="24"/>
                  <w:color w:val="0000ff"/>
                </w:rPr>
                <w:t xml:space="preserve">классификатором</w:t>
              </w:r>
            </w:hyperlink>
            <w:r>
              <w:rPr>
                <w:sz w:val="24"/>
              </w:rPr>
              <w:t xml:space="preserve"> форм собственности (ОКФС)</w:t>
            </w:r>
          </w:p>
        </w:tc>
        <w:tc>
          <w:tcPr>
            <w:tcW w:w="567" w:type="dxa"/>
            <w:vAlign w:val="center"/>
          </w:tcPr>
          <w:p>
            <w:pPr>
              <w:pStyle w:val="0"/>
              <w:jc w:val="center"/>
            </w:pPr>
            <w:r>
              <w:rPr>
                <w:sz w:val="24"/>
              </w:rPr>
              <w:t xml:space="preserve">7</w:t>
            </w:r>
          </w:p>
        </w:tc>
        <w:tc>
          <w:tcPr>
            <w:tcW w:w="2154" w:type="dxa"/>
            <w:vAlign w:val="center"/>
          </w:tcPr>
          <w:p>
            <w:pPr>
              <w:pStyle w:val="0"/>
            </w:pPr>
            <w:r>
              <w:rPr>
                <w:sz w:val="24"/>
              </w:rPr>
            </w:r>
          </w:p>
        </w:tc>
      </w:tr>
      <w:tr>
        <w:tc>
          <w:tcPr>
            <w:tcW w:w="6350" w:type="dxa"/>
            <w:vAlign w:val="center"/>
          </w:tcPr>
          <w:p>
            <w:pPr>
              <w:pStyle w:val="0"/>
            </w:pPr>
            <w:r>
              <w:rPr>
                <w:sz w:val="24"/>
              </w:rPr>
              <w:t xml:space="preserve">Вид медицинской организации в соответствии с номенклатурой медицинских организаций</w:t>
            </w:r>
          </w:p>
        </w:tc>
        <w:tc>
          <w:tcPr>
            <w:tcW w:w="567" w:type="dxa"/>
            <w:vAlign w:val="center"/>
          </w:tcPr>
          <w:p>
            <w:pPr>
              <w:pStyle w:val="0"/>
              <w:jc w:val="center"/>
            </w:pPr>
            <w:r>
              <w:rPr>
                <w:sz w:val="24"/>
              </w:rPr>
              <w:t xml:space="preserve">8</w:t>
            </w:r>
          </w:p>
        </w:tc>
        <w:tc>
          <w:tcPr>
            <w:tcW w:w="2154" w:type="dxa"/>
            <w:vAlign w:val="center"/>
          </w:tcPr>
          <w:p>
            <w:pPr>
              <w:pStyle w:val="0"/>
            </w:pPr>
            <w:r>
              <w:rPr>
                <w:sz w:val="24"/>
              </w:rPr>
            </w:r>
          </w:p>
        </w:tc>
      </w:tr>
      <w:tr>
        <w:tc>
          <w:tcPr>
            <w:tcW w:w="6350" w:type="dxa"/>
            <w:vAlign w:val="center"/>
          </w:tcPr>
          <w:p>
            <w:pPr>
              <w:pStyle w:val="0"/>
            </w:pPr>
            <w:r>
              <w:rPr>
                <w:sz w:val="24"/>
              </w:rPr>
              <w:t xml:space="preserve">Адрес медицинской организации в пределах места нахождения медицинской организации</w:t>
            </w:r>
          </w:p>
        </w:tc>
        <w:tc>
          <w:tcPr>
            <w:tcW w:w="567" w:type="dxa"/>
            <w:vAlign w:val="center"/>
          </w:tcPr>
          <w:p>
            <w:pPr>
              <w:pStyle w:val="0"/>
              <w:jc w:val="center"/>
            </w:pPr>
            <w:r>
              <w:rPr>
                <w:sz w:val="24"/>
              </w:rPr>
              <w:t xml:space="preserve">9</w:t>
            </w:r>
          </w:p>
        </w:tc>
        <w:tc>
          <w:tcPr>
            <w:tcW w:w="2154" w:type="dxa"/>
            <w:vAlign w:val="center"/>
          </w:tcPr>
          <w:p>
            <w:pPr>
              <w:pStyle w:val="0"/>
            </w:pPr>
            <w:r>
              <w:rPr>
                <w:sz w:val="24"/>
              </w:rPr>
            </w:r>
          </w:p>
        </w:tc>
      </w:tr>
      <w:tr>
        <w:tc>
          <w:tcPr>
            <w:tcW w:w="6350" w:type="dxa"/>
            <w:vAlign w:val="center"/>
          </w:tcPr>
          <w:p>
            <w:pPr>
              <w:pStyle w:val="0"/>
            </w:pPr>
            <w:r>
              <w:rPr>
                <w:sz w:val="24"/>
              </w:rPr>
              <w:t xml:space="preserve">Уникальный номер адреса медицинской организации в пределах места нахождения медицинской организации в государственном адресном реестре</w:t>
            </w:r>
          </w:p>
        </w:tc>
        <w:tc>
          <w:tcPr>
            <w:tcW w:w="567" w:type="dxa"/>
            <w:vAlign w:val="center"/>
          </w:tcPr>
          <w:p>
            <w:pPr>
              <w:pStyle w:val="0"/>
              <w:jc w:val="center"/>
            </w:pPr>
            <w:r>
              <w:rPr>
                <w:sz w:val="24"/>
              </w:rPr>
              <w:t xml:space="preserve">9.1</w:t>
            </w:r>
          </w:p>
        </w:tc>
        <w:tc>
          <w:tcPr>
            <w:tcW w:w="2154" w:type="dxa"/>
            <w:vAlign w:val="center"/>
          </w:tcPr>
          <w:p>
            <w:pPr>
              <w:pStyle w:val="0"/>
            </w:pPr>
            <w:r>
              <w:rPr>
                <w:sz w:val="24"/>
              </w:rPr>
            </w:r>
          </w:p>
        </w:tc>
      </w:tr>
      <w:tr>
        <w:tc>
          <w:tcPr>
            <w:tcW w:w="6350" w:type="dxa"/>
            <w:vAlign w:val="center"/>
          </w:tcPr>
          <w:p>
            <w:pPr>
              <w:pStyle w:val="0"/>
            </w:pPr>
            <w:r>
              <w:rPr>
                <w:sz w:val="24"/>
              </w:rPr>
              <w:t xml:space="preserve">Адрес электронной почты, номер телефона медицинской организации</w:t>
            </w:r>
          </w:p>
        </w:tc>
        <w:tc>
          <w:tcPr>
            <w:tcW w:w="567" w:type="dxa"/>
            <w:vAlign w:val="center"/>
          </w:tcPr>
          <w:p>
            <w:pPr>
              <w:pStyle w:val="0"/>
              <w:jc w:val="center"/>
            </w:pPr>
            <w:r>
              <w:rPr>
                <w:sz w:val="24"/>
              </w:rPr>
              <w:t xml:space="preserve">10</w:t>
            </w:r>
          </w:p>
        </w:tc>
        <w:tc>
          <w:tcPr>
            <w:tcW w:w="2154" w:type="dxa"/>
            <w:vAlign w:val="center"/>
          </w:tcPr>
          <w:p>
            <w:pPr>
              <w:pStyle w:val="0"/>
            </w:pPr>
            <w:r>
              <w:rPr>
                <w:sz w:val="24"/>
              </w:rPr>
            </w:r>
          </w:p>
        </w:tc>
      </w:tr>
      <w:tr>
        <w:tc>
          <w:tcPr>
            <w:tcW w:w="6350" w:type="dxa"/>
            <w:vAlign w:val="center"/>
          </w:tcPr>
          <w:p>
            <w:pPr>
              <w:pStyle w:val="0"/>
            </w:pPr>
            <w:r>
              <w:rPr>
                <w:sz w:val="24"/>
              </w:rPr>
              <w:t xml:space="preserve">Фамилия, имя, отчество (при наличии) руководителя и иных лиц медицинской организации, имеющих право действовать от имени медицинской организации без доверенности</w:t>
            </w:r>
          </w:p>
        </w:tc>
        <w:tc>
          <w:tcPr>
            <w:tcW w:w="567" w:type="dxa"/>
            <w:vAlign w:val="center"/>
          </w:tcPr>
          <w:p>
            <w:pPr>
              <w:pStyle w:val="0"/>
              <w:jc w:val="center"/>
            </w:pPr>
            <w:r>
              <w:rPr>
                <w:sz w:val="24"/>
              </w:rPr>
              <w:t xml:space="preserve">11</w:t>
            </w:r>
          </w:p>
        </w:tc>
        <w:tc>
          <w:tcPr>
            <w:tcW w:w="2154" w:type="dxa"/>
            <w:vAlign w:val="center"/>
          </w:tcPr>
          <w:p>
            <w:pPr>
              <w:pStyle w:val="0"/>
            </w:pPr>
            <w:r>
              <w:rPr>
                <w:sz w:val="24"/>
              </w:rPr>
            </w:r>
          </w:p>
        </w:tc>
      </w:tr>
      <w:tr>
        <w:tc>
          <w:tcPr>
            <w:tcW w:w="6350" w:type="dxa"/>
            <w:vAlign w:val="center"/>
          </w:tcPr>
          <w:p>
            <w:pPr>
              <w:pStyle w:val="0"/>
            </w:pPr>
            <w:r>
              <w:rPr>
                <w:sz w:val="24"/>
              </w:rPr>
              <w:t xml:space="preserve">Банковские реквизиты медицинской организации</w:t>
            </w:r>
          </w:p>
        </w:tc>
        <w:tc>
          <w:tcPr>
            <w:tcW w:w="567" w:type="dxa"/>
            <w:vAlign w:val="center"/>
          </w:tcPr>
          <w:p>
            <w:pPr>
              <w:pStyle w:val="0"/>
              <w:jc w:val="center"/>
            </w:pPr>
            <w:r>
              <w:rPr>
                <w:sz w:val="24"/>
              </w:rPr>
              <w:t xml:space="preserve">12</w:t>
            </w:r>
          </w:p>
        </w:tc>
        <w:tc>
          <w:tcPr>
            <w:tcW w:w="2154" w:type="dxa"/>
            <w:vAlign w:val="center"/>
          </w:tcPr>
          <w:p>
            <w:pPr>
              <w:pStyle w:val="0"/>
              <w:jc w:val="center"/>
            </w:pPr>
            <w:hyperlink w:history="0" w:anchor="P1616" w:tooltip="                                 ЗАЯВЛЕНИЕ">
              <w:r>
                <w:rPr>
                  <w:sz w:val="24"/>
                  <w:color w:val="0000ff"/>
                </w:rPr>
                <w:t xml:space="preserve">Приложение N 1</w:t>
              </w:r>
            </w:hyperlink>
          </w:p>
        </w:tc>
      </w:tr>
      <w:tr>
        <w:tc>
          <w:tcPr>
            <w:tcW w:w="6350" w:type="dxa"/>
            <w:vAlign w:val="center"/>
          </w:tcPr>
          <w:p>
            <w:pPr>
              <w:pStyle w:val="0"/>
            </w:pPr>
            <w:r>
              <w:rPr>
                <w:sz w:val="24"/>
              </w:rPr>
              <w:t xml:space="preserve">Сведения о лицензии на осуществление медицинской деятельности</w:t>
            </w:r>
          </w:p>
        </w:tc>
        <w:tc>
          <w:tcPr>
            <w:tcW w:w="567" w:type="dxa"/>
            <w:vAlign w:val="center"/>
          </w:tcPr>
          <w:p>
            <w:pPr>
              <w:pStyle w:val="0"/>
              <w:jc w:val="center"/>
            </w:pPr>
            <w:r>
              <w:rPr>
                <w:sz w:val="24"/>
              </w:rPr>
              <w:t xml:space="preserve">13</w:t>
            </w:r>
          </w:p>
        </w:tc>
        <w:tc>
          <w:tcPr>
            <w:tcW w:w="2154" w:type="dxa"/>
            <w:vAlign w:val="center"/>
          </w:tcPr>
          <w:p>
            <w:pPr>
              <w:pStyle w:val="0"/>
              <w:jc w:val="center"/>
            </w:pPr>
            <w:hyperlink w:history="0" w:anchor="P1947" w:tooltip="Реестр">
              <w:r>
                <w:rPr>
                  <w:sz w:val="24"/>
                  <w:color w:val="0000ff"/>
                </w:rPr>
                <w:t xml:space="preserve">Приложение N 2</w:t>
              </w:r>
            </w:hyperlink>
          </w:p>
        </w:tc>
      </w:tr>
      <w:tr>
        <w:tc>
          <w:tcPr>
            <w:tcW w:w="6350" w:type="dxa"/>
            <w:vAlign w:val="center"/>
          </w:tcPr>
          <w:p>
            <w:pPr>
              <w:pStyle w:val="0"/>
            </w:pPr>
            <w:r>
              <w:rPr>
                <w:sz w:val="24"/>
              </w:rPr>
              <w:t xml:space="preserve">Сведения об обособленных структурных подразделениях медицинской организации, предлагаемых к участию в реализации территориальной программы на соответствующий финансовый год</w:t>
            </w:r>
          </w:p>
        </w:tc>
        <w:tc>
          <w:tcPr>
            <w:tcW w:w="567" w:type="dxa"/>
            <w:vAlign w:val="center"/>
          </w:tcPr>
          <w:p>
            <w:pPr>
              <w:pStyle w:val="0"/>
              <w:jc w:val="center"/>
            </w:pPr>
            <w:r>
              <w:rPr>
                <w:sz w:val="24"/>
              </w:rPr>
              <w:t xml:space="preserve">14</w:t>
            </w:r>
          </w:p>
        </w:tc>
        <w:tc>
          <w:tcPr>
            <w:tcW w:w="2154" w:type="dxa"/>
            <w:vAlign w:val="center"/>
          </w:tcPr>
          <w:p>
            <w:pPr>
              <w:pStyle w:val="0"/>
              <w:jc w:val="center"/>
            </w:pPr>
            <w:hyperlink w:history="0" w:anchor="P2029" w:tooltip="Уведомление">
              <w:r>
                <w:rPr>
                  <w:sz w:val="24"/>
                  <w:color w:val="0000ff"/>
                </w:rPr>
                <w:t xml:space="preserve">Приложение N 3</w:t>
              </w:r>
            </w:hyperlink>
          </w:p>
        </w:tc>
      </w:tr>
      <w:tr>
        <w:tc>
          <w:tcPr>
            <w:tcW w:w="6350" w:type="dxa"/>
            <w:vAlign w:val="center"/>
          </w:tcPr>
          <w:p>
            <w:pPr>
              <w:pStyle w:val="0"/>
            </w:pPr>
            <w:r>
              <w:rPr>
                <w:sz w:val="24"/>
              </w:rPr>
              <w:t xml:space="preserve">Сведения об адресах оказания медицинской помощи на территории субъекта Российской Федерации, расположенных по данным адресам обособленных структурных подразделениях медицинской организации и (или) наименованиях структурных подразделений медицинской организации, расположенных по данным адресам (при наличии)</w:t>
            </w:r>
          </w:p>
        </w:tc>
        <w:tc>
          <w:tcPr>
            <w:tcW w:w="567" w:type="dxa"/>
            <w:vAlign w:val="center"/>
          </w:tcPr>
          <w:p>
            <w:pPr>
              <w:pStyle w:val="0"/>
              <w:jc w:val="center"/>
            </w:pPr>
            <w:r>
              <w:rPr>
                <w:sz w:val="24"/>
              </w:rPr>
              <w:t xml:space="preserve">15</w:t>
            </w:r>
          </w:p>
        </w:tc>
        <w:tc>
          <w:tcPr>
            <w:tcW w:w="2154" w:type="dxa"/>
            <w:vAlign w:val="center"/>
          </w:tcPr>
          <w:p>
            <w:pPr>
              <w:pStyle w:val="0"/>
              <w:jc w:val="center"/>
            </w:pPr>
            <w:hyperlink w:history="0" w:anchor="P2132" w:tooltip="Единый реестр">
              <w:r>
                <w:rPr>
                  <w:sz w:val="24"/>
                  <w:color w:val="0000ff"/>
                </w:rPr>
                <w:t xml:space="preserve">Приложение N 4</w:t>
              </w:r>
            </w:hyperlink>
          </w:p>
        </w:tc>
      </w:tr>
      <w:tr>
        <w:tc>
          <w:tcPr>
            <w:tcW w:w="6350" w:type="dxa"/>
            <w:vAlign w:val="center"/>
          </w:tcPr>
          <w:p>
            <w:pPr>
              <w:pStyle w:val="0"/>
            </w:pPr>
            <w:r>
              <w:rPr>
                <w:sz w:val="24"/>
              </w:rPr>
              <w:t xml:space="preserve">Мощность коечного фонда медицинской организации и количество врачей, участвующих в оказании первичной медико-санитарной помощи в разрезе профилей и адресов оказания медицинской помощи</w:t>
            </w:r>
          </w:p>
        </w:tc>
        <w:tc>
          <w:tcPr>
            <w:tcW w:w="567" w:type="dxa"/>
            <w:vAlign w:val="center"/>
          </w:tcPr>
          <w:p>
            <w:pPr>
              <w:pStyle w:val="0"/>
              <w:jc w:val="center"/>
            </w:pPr>
            <w:r>
              <w:rPr>
                <w:sz w:val="24"/>
              </w:rPr>
              <w:t xml:space="preserve">16</w:t>
            </w:r>
          </w:p>
        </w:tc>
        <w:tc>
          <w:tcPr>
            <w:tcW w:w="2154" w:type="dxa"/>
            <w:vAlign w:val="center"/>
          </w:tcPr>
          <w:p>
            <w:pPr>
              <w:pStyle w:val="0"/>
              <w:jc w:val="center"/>
            </w:pPr>
            <w:hyperlink w:history="0" w:anchor="P2224" w:tooltip="ПОЛОЖЕНИЕ">
              <w:r>
                <w:rPr>
                  <w:sz w:val="24"/>
                  <w:color w:val="0000ff"/>
                </w:rPr>
                <w:t xml:space="preserve">Приложение N 5</w:t>
              </w:r>
            </w:hyperlink>
          </w:p>
        </w:tc>
      </w:tr>
      <w:tr>
        <w:tc>
          <w:tcPr>
            <w:tcW w:w="6350" w:type="dxa"/>
            <w:vAlign w:val="center"/>
          </w:tcPr>
          <w:p>
            <w:pPr>
              <w:pStyle w:val="0"/>
            </w:pPr>
            <w:r>
              <w:rPr>
                <w:sz w:val="24"/>
              </w:rPr>
              <w:t xml:space="preserve">Виды и формы медицинской помощи, планируемые к оказанию медицинской организацией в рамках территориальной программы, в разрезе условий оказания и профилей медицинской помощи</w:t>
            </w:r>
          </w:p>
        </w:tc>
        <w:tc>
          <w:tcPr>
            <w:tcW w:w="567" w:type="dxa"/>
            <w:vAlign w:val="center"/>
          </w:tcPr>
          <w:p>
            <w:pPr>
              <w:pStyle w:val="0"/>
              <w:jc w:val="center"/>
            </w:pPr>
            <w:r>
              <w:rPr>
                <w:sz w:val="24"/>
              </w:rPr>
              <w:t xml:space="preserve">17</w:t>
            </w:r>
          </w:p>
        </w:tc>
        <w:tc>
          <w:tcPr>
            <w:tcW w:w="2154" w:type="dxa"/>
            <w:vAlign w:val="center"/>
          </w:tcPr>
          <w:p>
            <w:pPr>
              <w:pStyle w:val="0"/>
              <w:jc w:val="center"/>
            </w:pPr>
            <w:hyperlink w:history="0" w:anchor="P2333" w:tooltip="Реестр">
              <w:r>
                <w:rPr>
                  <w:sz w:val="24"/>
                  <w:color w:val="0000ff"/>
                </w:rPr>
                <w:t xml:space="preserve">Приложение N 6</w:t>
              </w:r>
            </w:hyperlink>
          </w:p>
        </w:tc>
      </w:tr>
      <w:tr>
        <w:tc>
          <w:tcPr>
            <w:tcW w:w="6350" w:type="dxa"/>
            <w:vAlign w:val="center"/>
          </w:tcPr>
          <w:p>
            <w:pPr>
              <w:pStyle w:val="0"/>
            </w:pPr>
            <w:r>
              <w:rPr>
                <w:sz w:val="24"/>
              </w:rPr>
              <w:t xml:space="preserve">Предложения о планируемых к выполнению объемах медицинской помощи на плановый год по видам и условиям оказания медицинской помощи в разрезе профилей, врачей-специалистов, количества вызовов скорой медицинской помощи, клинико-профильных/клинико-статистических групп заболеваний по детскому и взрослому населению, а также планируемых к выполнению объемах диагностических и (или) консультативных услуг на плановый год взрослому и детскому населению согласно номенклатуре медицинских услуг</w:t>
            </w:r>
          </w:p>
        </w:tc>
        <w:tc>
          <w:tcPr>
            <w:tcW w:w="567" w:type="dxa"/>
            <w:vAlign w:val="center"/>
          </w:tcPr>
          <w:p>
            <w:pPr>
              <w:pStyle w:val="0"/>
              <w:jc w:val="center"/>
            </w:pPr>
            <w:r>
              <w:rPr>
                <w:sz w:val="24"/>
              </w:rPr>
              <w:t xml:space="preserve">18</w:t>
            </w:r>
          </w:p>
        </w:tc>
        <w:tc>
          <w:tcPr>
            <w:tcW w:w="2154" w:type="dxa"/>
            <w:vAlign w:val="center"/>
          </w:tcPr>
          <w:p>
            <w:pPr>
              <w:pStyle w:val="0"/>
              <w:jc w:val="center"/>
            </w:pPr>
            <w:hyperlink w:history="0" w:anchor="P2414" w:tooltip="                                УВЕДОМЛЕНИЕ">
              <w:r>
                <w:rPr>
                  <w:sz w:val="24"/>
                  <w:color w:val="0000ff"/>
                </w:rPr>
                <w:t xml:space="preserve">Приложение N 7</w:t>
              </w:r>
            </w:hyperlink>
          </w:p>
        </w:tc>
      </w:tr>
      <w:tr>
        <w:tc>
          <w:tcPr>
            <w:tcW w:w="6350" w:type="dxa"/>
            <w:vAlign w:val="center"/>
          </w:tcPr>
          <w:p>
            <w:pPr>
              <w:pStyle w:val="0"/>
            </w:pPr>
            <w:r>
              <w:rPr>
                <w:sz w:val="24"/>
              </w:rPr>
              <w:t xml:space="preserve">Сведения об объемах медицинской помощи в разрезе профилей, оказанной медицинской организацией за счет всех источников финансового обеспечения (в разрезе источников финансового обеспечения) за год, предшествующий году подачи уведомления о включении в реестр медицинских организаций.</w:t>
            </w:r>
          </w:p>
        </w:tc>
        <w:tc>
          <w:tcPr>
            <w:tcW w:w="567" w:type="dxa"/>
            <w:vAlign w:val="center"/>
          </w:tcPr>
          <w:p>
            <w:pPr>
              <w:pStyle w:val="0"/>
              <w:jc w:val="center"/>
            </w:pPr>
            <w:r>
              <w:rPr>
                <w:sz w:val="24"/>
              </w:rPr>
              <w:t xml:space="preserve">19</w:t>
            </w:r>
          </w:p>
        </w:tc>
        <w:tc>
          <w:tcPr>
            <w:tcW w:w="2154" w:type="dxa"/>
            <w:vAlign w:val="center"/>
          </w:tcPr>
          <w:p>
            <w:pPr>
              <w:pStyle w:val="0"/>
              <w:jc w:val="center"/>
            </w:pPr>
            <w:r>
              <w:rPr>
                <w:sz w:val="24"/>
              </w:rPr>
              <w:t xml:space="preserve">Приложение N 9</w:t>
            </w:r>
          </w:p>
        </w:tc>
      </w:tr>
    </w:tbl>
    <w:p>
      <w:pPr>
        <w:pStyle w:val="0"/>
        <w:jc w:val="both"/>
      </w:pPr>
      <w:r>
        <w:rPr>
          <w:sz w:val="24"/>
        </w:rPr>
      </w:r>
    </w:p>
    <w:p>
      <w:pPr>
        <w:pStyle w:val="1"/>
        <w:jc w:val="both"/>
      </w:pPr>
      <w:r>
        <w:rPr>
          <w:sz w:val="20"/>
        </w:rPr>
        <w:t xml:space="preserve">С  условиями  осуществления деятельности в сфере обязательного медицинского</w:t>
      </w:r>
    </w:p>
    <w:p>
      <w:pPr>
        <w:pStyle w:val="1"/>
        <w:jc w:val="both"/>
      </w:pPr>
      <w:r>
        <w:rPr>
          <w:sz w:val="20"/>
        </w:rPr>
        <w:t xml:space="preserve">страхования ознакомлен.</w:t>
      </w:r>
    </w:p>
    <w:p>
      <w:pPr>
        <w:pStyle w:val="1"/>
        <w:jc w:val="both"/>
      </w:pPr>
      <w:r>
        <w:rPr>
          <w:sz w:val="20"/>
        </w:rPr>
      </w:r>
    </w:p>
    <w:p>
      <w:pPr>
        <w:pStyle w:val="1"/>
        <w:jc w:val="both"/>
      </w:pPr>
      <w:r>
        <w:rPr>
          <w:sz w:val="20"/>
        </w:rPr>
        <w:t xml:space="preserve">    Руководитель медицинской</w:t>
      </w:r>
    </w:p>
    <w:p>
      <w:pPr>
        <w:pStyle w:val="1"/>
        <w:jc w:val="both"/>
      </w:pPr>
      <w:r>
        <w:rPr>
          <w:sz w:val="20"/>
        </w:rPr>
        <w:t xml:space="preserve">    организации                 ___________   _____________________________</w:t>
      </w:r>
    </w:p>
    <w:p>
      <w:pPr>
        <w:pStyle w:val="1"/>
        <w:jc w:val="both"/>
      </w:pPr>
      <w:r>
        <w:rPr>
          <w:sz w:val="20"/>
        </w:rPr>
        <w:t xml:space="preserve">                                 (подпись)        (расшифровка подписи)</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2"/>
        <w:jc w:val="right"/>
      </w:pPr>
      <w:r>
        <w:rPr>
          <w:sz w:val="24"/>
        </w:rPr>
        <w:t xml:space="preserve">Приложение N 1</w:t>
      </w:r>
    </w:p>
    <w:p>
      <w:pPr>
        <w:pStyle w:val="0"/>
        <w:jc w:val="right"/>
      </w:pPr>
      <w:r>
        <w:rPr>
          <w:sz w:val="24"/>
        </w:rPr>
        <w:t xml:space="preserve">к уведомлению о включении медицинской</w:t>
      </w:r>
    </w:p>
    <w:p>
      <w:pPr>
        <w:pStyle w:val="0"/>
        <w:jc w:val="right"/>
      </w:pPr>
      <w:r>
        <w:rPr>
          <w:sz w:val="24"/>
        </w:rPr>
        <w:t xml:space="preserve">организации в реестр медицинских</w:t>
      </w:r>
    </w:p>
    <w:p>
      <w:pPr>
        <w:pStyle w:val="0"/>
        <w:jc w:val="right"/>
      </w:pPr>
      <w:r>
        <w:rPr>
          <w:sz w:val="24"/>
        </w:rPr>
        <w:t xml:space="preserve">организаций, осуществляющих деятельность</w:t>
      </w:r>
    </w:p>
    <w:p>
      <w:pPr>
        <w:pStyle w:val="0"/>
        <w:jc w:val="right"/>
      </w:pPr>
      <w:r>
        <w:rPr>
          <w:sz w:val="24"/>
        </w:rPr>
        <w:t xml:space="preserve">в сфере обязательного медицинского</w:t>
      </w:r>
    </w:p>
    <w:p>
      <w:pPr>
        <w:pStyle w:val="0"/>
        <w:jc w:val="right"/>
      </w:pPr>
      <w:r>
        <w:rPr>
          <w:sz w:val="24"/>
        </w:rPr>
        <w:t xml:space="preserve">страхования по территориальной</w:t>
      </w:r>
    </w:p>
    <w:p>
      <w:pPr>
        <w:pStyle w:val="0"/>
        <w:jc w:val="right"/>
      </w:pPr>
      <w:r>
        <w:rPr>
          <w:sz w:val="24"/>
        </w:rPr>
        <w:t xml:space="preserve">программе обязательного</w:t>
      </w:r>
    </w:p>
    <w:p>
      <w:pPr>
        <w:pStyle w:val="0"/>
        <w:jc w:val="right"/>
      </w:pPr>
      <w:r>
        <w:rPr>
          <w:sz w:val="24"/>
        </w:rPr>
        <w:t xml:space="preserve">медицинского страхования</w:t>
      </w:r>
    </w:p>
    <w:p>
      <w:pPr>
        <w:pStyle w:val="0"/>
        <w:jc w:val="both"/>
      </w:pPr>
      <w:r>
        <w:rPr>
          <w:sz w:val="24"/>
        </w:rPr>
      </w:r>
    </w:p>
    <w:tbl>
      <w:tblPr>
        <w:tblInd w:w="0" w:type="dxa"/>
        <w:tblLayout w:type="fixed"/>
        <w:tblCellMar>
          <w:top w:w="102" w:type="dxa"/>
          <w:left w:w="62" w:type="dxa"/>
          <w:bottom w:w="102" w:type="dxa"/>
          <w:right w:w="62" w:type="dxa"/>
        </w:tblCellMar>
      </w:tblPr>
      <w:tblGrid>
        <w:gridCol w:w="2267"/>
        <w:gridCol w:w="1247"/>
        <w:gridCol w:w="340"/>
        <w:gridCol w:w="5216"/>
      </w:tblGrid>
      <w:tr>
        <w:tc>
          <w:tcPr>
            <w:gridSpan w:val="4"/>
            <w:tcW w:w="9070" w:type="dxa"/>
            <w:tcBorders>
              <w:top w:val="nil"/>
              <w:left w:val="nil"/>
              <w:bottom w:val="nil"/>
              <w:right w:val="nil"/>
            </w:tcBorders>
          </w:tcPr>
          <w:bookmarkStart w:id="2526" w:name="P2526"/>
          <w:bookmarkEnd w:id="2526"/>
          <w:p>
            <w:pPr>
              <w:pStyle w:val="0"/>
              <w:jc w:val="center"/>
            </w:pPr>
            <w:r>
              <w:rPr>
                <w:sz w:val="24"/>
              </w:rPr>
              <w:t xml:space="preserve">Банковские реквизиты медицинской организации</w:t>
            </w:r>
          </w:p>
        </w:tc>
      </w:tr>
      <w:tr>
        <w:tc>
          <w:tcPr>
            <w:gridSpan w:val="4"/>
            <w:tcW w:w="9070" w:type="dxa"/>
            <w:tcBorders>
              <w:top w:val="nil"/>
              <w:left w:val="nil"/>
              <w:bottom w:val="nil"/>
              <w:right w:val="nil"/>
            </w:tcBorders>
          </w:tcPr>
          <w:p>
            <w:pPr>
              <w:pStyle w:val="0"/>
              <w:jc w:val="both"/>
            </w:pPr>
            <w:r>
              <w:rPr>
                <w:sz w:val="24"/>
              </w:rPr>
            </w:r>
          </w:p>
        </w:tc>
      </w:tr>
      <w:tr>
        <w:tc>
          <w:tcPr>
            <w:tcW w:w="2267" w:type="dxa"/>
            <w:vAlign w:val="bottom"/>
            <w:tcBorders>
              <w:top w:val="nil"/>
              <w:left w:val="nil"/>
              <w:bottom w:val="nil"/>
              <w:right w:val="nil"/>
            </w:tcBorders>
          </w:tcPr>
          <w:p>
            <w:pPr>
              <w:pStyle w:val="0"/>
              <w:ind w:left="283"/>
              <w:jc w:val="both"/>
            </w:pPr>
            <w:r>
              <w:rPr>
                <w:sz w:val="24"/>
              </w:rPr>
              <w:t xml:space="preserve">N уведомления</w:t>
            </w:r>
          </w:p>
        </w:tc>
        <w:tc>
          <w:tcPr>
            <w:tcW w:w="1247" w:type="dxa"/>
            <w:tcBorders>
              <w:top w:val="nil"/>
              <w:left w:val="nil"/>
              <w:bottom w:val="single" w:sz="4"/>
              <w:right w:val="nil"/>
            </w:tcBorders>
          </w:tcPr>
          <w:p>
            <w:pPr>
              <w:pStyle w:val="0"/>
            </w:pPr>
            <w:r>
              <w:rPr>
                <w:sz w:val="24"/>
              </w:rPr>
            </w:r>
          </w:p>
        </w:tc>
        <w:tc>
          <w:tcPr>
            <w:tcW w:w="340" w:type="dxa"/>
            <w:tcBorders>
              <w:top w:val="nil"/>
              <w:left w:val="nil"/>
              <w:bottom w:val="nil"/>
              <w:right w:val="nil"/>
            </w:tcBorders>
          </w:tcPr>
          <w:p>
            <w:pPr>
              <w:pStyle w:val="0"/>
            </w:pPr>
            <w:r>
              <w:rPr>
                <w:sz w:val="24"/>
              </w:rPr>
            </w:r>
          </w:p>
        </w:tc>
        <w:tc>
          <w:tcPr>
            <w:tcW w:w="5216" w:type="dxa"/>
            <w:tcBorders>
              <w:top w:val="nil"/>
              <w:left w:val="nil"/>
              <w:bottom w:val="single" w:sz="4"/>
              <w:right w:val="nil"/>
            </w:tcBorders>
          </w:tcPr>
          <w:p>
            <w:pPr>
              <w:pStyle w:val="0"/>
            </w:pPr>
            <w:r>
              <w:rPr>
                <w:sz w:val="24"/>
              </w:rPr>
            </w:r>
          </w:p>
        </w:tc>
      </w:tr>
      <w:tr>
        <w:tc>
          <w:tcPr>
            <w:gridSpan w:val="2"/>
            <w:tcW w:w="3514" w:type="dxa"/>
            <w:tcBorders>
              <w:top w:val="nil"/>
              <w:left w:val="nil"/>
              <w:bottom w:val="nil"/>
              <w:right w:val="nil"/>
            </w:tcBorders>
          </w:tcPr>
          <w:p>
            <w:pPr>
              <w:pStyle w:val="0"/>
            </w:pPr>
            <w:r>
              <w:rPr>
                <w:sz w:val="24"/>
              </w:rPr>
            </w:r>
          </w:p>
        </w:tc>
        <w:tc>
          <w:tcPr>
            <w:tcW w:w="340" w:type="dxa"/>
            <w:tcBorders>
              <w:top w:val="nil"/>
              <w:left w:val="nil"/>
              <w:bottom w:val="nil"/>
              <w:right w:val="nil"/>
            </w:tcBorders>
          </w:tcPr>
          <w:p>
            <w:pPr>
              <w:pStyle w:val="0"/>
            </w:pPr>
            <w:r>
              <w:rPr>
                <w:sz w:val="24"/>
              </w:rPr>
            </w:r>
          </w:p>
        </w:tc>
        <w:tc>
          <w:tcPr>
            <w:tcW w:w="5216" w:type="dxa"/>
            <w:tcBorders>
              <w:top w:val="single" w:sz="4"/>
              <w:left w:val="nil"/>
              <w:bottom w:val="nil"/>
              <w:right w:val="nil"/>
            </w:tcBorders>
          </w:tcPr>
          <w:p>
            <w:pPr>
              <w:pStyle w:val="0"/>
              <w:jc w:val="center"/>
            </w:pPr>
            <w:r>
              <w:rPr>
                <w:sz w:val="24"/>
              </w:rPr>
              <w:t xml:space="preserve">(наименование медицинской организации)</w:t>
            </w:r>
          </w:p>
        </w:tc>
      </w:tr>
    </w:tbl>
    <w:p>
      <w:pPr>
        <w:pStyle w:val="0"/>
        <w:jc w:val="both"/>
      </w:pPr>
      <w:r>
        <w:rPr>
          <w:sz w:val="24"/>
        </w:rPr>
      </w:r>
    </w:p>
    <w:tbl>
      <w:tblPr>
        <w:tblInd w:w="0" w:type="dxa"/>
        <w:tblLayout w:type="fixed"/>
        <w:tblBorders>
          <w:left w:val="single" w:sz="4"/>
          <w:bottom w:val="single" w:sz="4"/>
          <w:right w:val="single" w:sz="4"/>
          <w:insideV w:val="single" w:sz="4"/>
          <w:insideH w:val="single" w:sz="4"/>
        </w:tblBorders>
        <w:tblCellMar>
          <w:top w:w="102" w:type="dxa"/>
          <w:left w:w="62" w:type="dxa"/>
          <w:bottom w:w="102" w:type="dxa"/>
          <w:right w:w="62" w:type="dxa"/>
        </w:tblCellMar>
      </w:tblPr>
      <w:tblGrid>
        <w:gridCol w:w="566"/>
        <w:gridCol w:w="1474"/>
        <w:gridCol w:w="1020"/>
        <w:gridCol w:w="2275"/>
        <w:gridCol w:w="1814"/>
        <w:gridCol w:w="963"/>
        <w:gridCol w:w="963"/>
      </w:tblGrid>
      <w:tr>
        <w:tblPrEx>
          <w:tblBorders>
            <w:left w:val="nil"/>
            <w:right w:val="nil"/>
          </w:tblBorders>
        </w:tblPrEx>
        <w:tc>
          <w:tcPr>
            <w:gridSpan w:val="7"/>
            <w:tcW w:w="9075" w:type="dxa"/>
            <w:tcBorders>
              <w:top w:val="nil"/>
              <w:left w:val="nil"/>
              <w:right w:val="nil"/>
            </w:tcBorders>
          </w:tcPr>
          <w:p>
            <w:pPr>
              <w:pStyle w:val="0"/>
              <w:outlineLvl w:val="3"/>
              <w:ind w:firstLine="283"/>
              <w:jc w:val="both"/>
            </w:pPr>
            <w:r>
              <w:rPr>
                <w:sz w:val="24"/>
              </w:rPr>
              <w:t xml:space="preserve">Банковские счета</w:t>
            </w:r>
          </w:p>
        </w:tc>
      </w:tr>
      <w:tr>
        <w:tc>
          <w:tcPr>
            <w:tcW w:w="566" w:type="dxa"/>
          </w:tcPr>
          <w:p>
            <w:pPr>
              <w:pStyle w:val="0"/>
              <w:jc w:val="center"/>
            </w:pPr>
            <w:r>
              <w:rPr>
                <w:sz w:val="24"/>
              </w:rPr>
              <w:t xml:space="preserve">N пп</w:t>
            </w:r>
          </w:p>
        </w:tc>
        <w:tc>
          <w:tcPr>
            <w:tcW w:w="1474" w:type="dxa"/>
          </w:tcPr>
          <w:p>
            <w:pPr>
              <w:pStyle w:val="0"/>
              <w:jc w:val="center"/>
            </w:pPr>
            <w:r>
              <w:rPr>
                <w:sz w:val="24"/>
              </w:rPr>
              <w:t xml:space="preserve">Номер банковского счета</w:t>
            </w:r>
          </w:p>
        </w:tc>
        <w:tc>
          <w:tcPr>
            <w:tcW w:w="1020" w:type="dxa"/>
          </w:tcPr>
          <w:p>
            <w:pPr>
              <w:pStyle w:val="0"/>
              <w:jc w:val="center"/>
            </w:pPr>
            <w:r>
              <w:rPr>
                <w:sz w:val="24"/>
              </w:rPr>
              <w:t xml:space="preserve">БИК банка</w:t>
            </w:r>
          </w:p>
        </w:tc>
        <w:tc>
          <w:tcPr>
            <w:tcW w:w="2275" w:type="dxa"/>
          </w:tcPr>
          <w:p>
            <w:pPr>
              <w:pStyle w:val="0"/>
              <w:jc w:val="center"/>
            </w:pPr>
            <w:r>
              <w:rPr>
                <w:sz w:val="24"/>
              </w:rPr>
              <w:t xml:space="preserve">Корреспондентский счет</w:t>
            </w:r>
          </w:p>
        </w:tc>
        <w:tc>
          <w:tcPr>
            <w:tcW w:w="1814" w:type="dxa"/>
          </w:tcPr>
          <w:p>
            <w:pPr>
              <w:pStyle w:val="0"/>
              <w:jc w:val="center"/>
            </w:pPr>
            <w:r>
              <w:rPr>
                <w:sz w:val="24"/>
              </w:rPr>
              <w:t xml:space="preserve">Наименование банка</w:t>
            </w:r>
          </w:p>
        </w:tc>
        <w:tc>
          <w:tcPr>
            <w:tcW w:w="963" w:type="dxa"/>
          </w:tcPr>
          <w:p>
            <w:pPr>
              <w:pStyle w:val="0"/>
              <w:jc w:val="center"/>
            </w:pPr>
            <w:r>
              <w:rPr>
                <w:sz w:val="24"/>
              </w:rPr>
              <w:t xml:space="preserve">ИНН</w:t>
            </w:r>
          </w:p>
        </w:tc>
        <w:tc>
          <w:tcPr>
            <w:tcW w:w="963" w:type="dxa"/>
          </w:tcPr>
          <w:p>
            <w:pPr>
              <w:pStyle w:val="0"/>
              <w:jc w:val="center"/>
            </w:pPr>
            <w:r>
              <w:rPr>
                <w:sz w:val="24"/>
              </w:rPr>
              <w:t xml:space="preserve">КПП</w:t>
            </w:r>
          </w:p>
        </w:tc>
      </w:tr>
      <w:tr>
        <w:tc>
          <w:tcPr>
            <w:tcW w:w="566" w:type="dxa"/>
          </w:tcPr>
          <w:p>
            <w:pPr>
              <w:pStyle w:val="0"/>
            </w:pPr>
            <w:r>
              <w:rPr>
                <w:sz w:val="24"/>
              </w:rPr>
            </w:r>
          </w:p>
        </w:tc>
        <w:tc>
          <w:tcPr>
            <w:tcW w:w="1474" w:type="dxa"/>
          </w:tcPr>
          <w:p>
            <w:pPr>
              <w:pStyle w:val="0"/>
            </w:pPr>
            <w:r>
              <w:rPr>
                <w:sz w:val="24"/>
              </w:rPr>
            </w:r>
          </w:p>
        </w:tc>
        <w:tc>
          <w:tcPr>
            <w:tcW w:w="1020" w:type="dxa"/>
          </w:tcPr>
          <w:p>
            <w:pPr>
              <w:pStyle w:val="0"/>
            </w:pPr>
            <w:r>
              <w:rPr>
                <w:sz w:val="24"/>
              </w:rPr>
            </w:r>
          </w:p>
        </w:tc>
        <w:tc>
          <w:tcPr>
            <w:tcW w:w="2275" w:type="dxa"/>
          </w:tcPr>
          <w:p>
            <w:pPr>
              <w:pStyle w:val="0"/>
            </w:pPr>
            <w:r>
              <w:rPr>
                <w:sz w:val="24"/>
              </w:rPr>
            </w:r>
          </w:p>
        </w:tc>
        <w:tc>
          <w:tcPr>
            <w:tcW w:w="1814" w:type="dxa"/>
          </w:tcPr>
          <w:p>
            <w:pPr>
              <w:pStyle w:val="0"/>
            </w:pPr>
            <w:r>
              <w:rPr>
                <w:sz w:val="24"/>
              </w:rPr>
            </w:r>
          </w:p>
        </w:tc>
        <w:tc>
          <w:tcPr>
            <w:tcW w:w="963" w:type="dxa"/>
          </w:tcPr>
          <w:p>
            <w:pPr>
              <w:pStyle w:val="0"/>
            </w:pPr>
            <w:r>
              <w:rPr>
                <w:sz w:val="24"/>
              </w:rPr>
            </w:r>
          </w:p>
        </w:tc>
        <w:tc>
          <w:tcPr>
            <w:tcW w:w="963" w:type="dxa"/>
          </w:tcPr>
          <w:p>
            <w:pPr>
              <w:pStyle w:val="0"/>
            </w:pPr>
            <w:r>
              <w:rPr>
                <w:sz w:val="24"/>
              </w:rPr>
            </w:r>
          </w:p>
        </w:tc>
      </w:tr>
    </w:tbl>
    <w:p>
      <w:pPr>
        <w:pStyle w:val="0"/>
        <w:jc w:val="both"/>
      </w:pPr>
      <w:r>
        <w:rPr>
          <w:sz w:val="24"/>
        </w:rPr>
      </w:r>
    </w:p>
    <w:tbl>
      <w:tblPr>
        <w:tblInd w:w="0" w:type="dxa"/>
        <w:tblLayout w:type="fixed"/>
        <w:tblBorders>
          <w:left w:val="single" w:sz="4"/>
          <w:bottom w:val="single" w:sz="4"/>
          <w:right w:val="single" w:sz="4"/>
          <w:insideV w:val="single" w:sz="4"/>
          <w:insideH w:val="single" w:sz="4"/>
        </w:tblBorders>
        <w:tblCellMar>
          <w:top w:w="102" w:type="dxa"/>
          <w:left w:w="62" w:type="dxa"/>
          <w:bottom w:w="102" w:type="dxa"/>
          <w:right w:w="62" w:type="dxa"/>
        </w:tblCellMar>
      </w:tblPr>
      <w:tblGrid>
        <w:gridCol w:w="566"/>
        <w:gridCol w:w="1700"/>
        <w:gridCol w:w="1814"/>
        <w:gridCol w:w="1191"/>
        <w:gridCol w:w="1814"/>
        <w:gridCol w:w="964"/>
        <w:gridCol w:w="1020"/>
      </w:tblGrid>
      <w:tr>
        <w:tblPrEx>
          <w:tblBorders>
            <w:left w:val="nil"/>
            <w:right w:val="nil"/>
          </w:tblBorders>
        </w:tblPrEx>
        <w:tc>
          <w:tcPr>
            <w:gridSpan w:val="7"/>
            <w:tcW w:w="9069" w:type="dxa"/>
            <w:tcBorders>
              <w:top w:val="nil"/>
              <w:left w:val="nil"/>
              <w:right w:val="nil"/>
            </w:tcBorders>
          </w:tcPr>
          <w:p>
            <w:pPr>
              <w:pStyle w:val="0"/>
              <w:outlineLvl w:val="3"/>
              <w:ind w:firstLine="283"/>
              <w:jc w:val="both"/>
            </w:pPr>
            <w:r>
              <w:rPr>
                <w:sz w:val="24"/>
              </w:rPr>
              <w:t xml:space="preserve">Казначейские счета</w:t>
            </w:r>
          </w:p>
        </w:tc>
      </w:tr>
      <w:tr>
        <w:tc>
          <w:tcPr>
            <w:tcW w:w="566" w:type="dxa"/>
          </w:tcPr>
          <w:p>
            <w:pPr>
              <w:pStyle w:val="0"/>
              <w:jc w:val="center"/>
            </w:pPr>
            <w:r>
              <w:rPr>
                <w:sz w:val="24"/>
              </w:rPr>
              <w:t xml:space="preserve">N пп</w:t>
            </w:r>
          </w:p>
        </w:tc>
        <w:tc>
          <w:tcPr>
            <w:tcW w:w="1700" w:type="dxa"/>
          </w:tcPr>
          <w:p>
            <w:pPr>
              <w:pStyle w:val="0"/>
              <w:jc w:val="center"/>
            </w:pPr>
            <w:r>
              <w:rPr>
                <w:sz w:val="24"/>
              </w:rPr>
              <w:t xml:space="preserve">Код территориального органа Федерального казначейства</w:t>
            </w:r>
          </w:p>
        </w:tc>
        <w:tc>
          <w:tcPr>
            <w:tcW w:w="1814" w:type="dxa"/>
          </w:tcPr>
          <w:p>
            <w:pPr>
              <w:pStyle w:val="0"/>
              <w:jc w:val="center"/>
            </w:pPr>
            <w:r>
              <w:rPr>
                <w:sz w:val="24"/>
              </w:rPr>
              <w:t xml:space="preserve">Наименование территориального органа Федерального казначейства</w:t>
            </w:r>
          </w:p>
        </w:tc>
        <w:tc>
          <w:tcPr>
            <w:tcW w:w="1191" w:type="dxa"/>
          </w:tcPr>
          <w:p>
            <w:pPr>
              <w:pStyle w:val="0"/>
              <w:jc w:val="center"/>
            </w:pPr>
            <w:r>
              <w:rPr>
                <w:sz w:val="24"/>
              </w:rPr>
              <w:t xml:space="preserve">Номер казначейского счета</w:t>
            </w:r>
          </w:p>
        </w:tc>
        <w:tc>
          <w:tcPr>
            <w:tcW w:w="1814" w:type="dxa"/>
          </w:tcPr>
          <w:p>
            <w:pPr>
              <w:pStyle w:val="0"/>
              <w:jc w:val="center"/>
            </w:pPr>
            <w:r>
              <w:rPr>
                <w:sz w:val="24"/>
              </w:rPr>
              <w:t xml:space="preserve">БИК территориального органа Федерального казначейства</w:t>
            </w:r>
          </w:p>
        </w:tc>
        <w:tc>
          <w:tcPr>
            <w:tcW w:w="964" w:type="dxa"/>
          </w:tcPr>
          <w:p>
            <w:pPr>
              <w:pStyle w:val="0"/>
              <w:jc w:val="center"/>
            </w:pPr>
            <w:r>
              <w:rPr>
                <w:sz w:val="24"/>
              </w:rPr>
              <w:t xml:space="preserve">Единый казначейский счет</w:t>
            </w:r>
          </w:p>
        </w:tc>
        <w:tc>
          <w:tcPr>
            <w:tcW w:w="1020" w:type="dxa"/>
          </w:tcPr>
          <w:p>
            <w:pPr>
              <w:pStyle w:val="0"/>
              <w:jc w:val="center"/>
            </w:pPr>
            <w:r>
              <w:rPr>
                <w:sz w:val="24"/>
              </w:rPr>
              <w:t xml:space="preserve">Наименование банка</w:t>
            </w:r>
          </w:p>
        </w:tc>
      </w:tr>
      <w:tr>
        <w:tc>
          <w:tcPr>
            <w:tcW w:w="566" w:type="dxa"/>
          </w:tcPr>
          <w:p>
            <w:pPr>
              <w:pStyle w:val="0"/>
            </w:pPr>
            <w:r>
              <w:rPr>
                <w:sz w:val="24"/>
              </w:rPr>
            </w:r>
          </w:p>
        </w:tc>
        <w:tc>
          <w:tcPr>
            <w:tcW w:w="1700" w:type="dxa"/>
          </w:tcPr>
          <w:p>
            <w:pPr>
              <w:pStyle w:val="0"/>
            </w:pPr>
            <w:r>
              <w:rPr>
                <w:sz w:val="24"/>
              </w:rPr>
            </w:r>
          </w:p>
        </w:tc>
        <w:tc>
          <w:tcPr>
            <w:tcW w:w="1814" w:type="dxa"/>
          </w:tcPr>
          <w:p>
            <w:pPr>
              <w:pStyle w:val="0"/>
            </w:pPr>
            <w:r>
              <w:rPr>
                <w:sz w:val="24"/>
              </w:rPr>
            </w:r>
          </w:p>
        </w:tc>
        <w:tc>
          <w:tcPr>
            <w:tcW w:w="1191" w:type="dxa"/>
          </w:tcPr>
          <w:p>
            <w:pPr>
              <w:pStyle w:val="0"/>
            </w:pPr>
            <w:r>
              <w:rPr>
                <w:sz w:val="24"/>
              </w:rPr>
            </w:r>
          </w:p>
        </w:tc>
        <w:tc>
          <w:tcPr>
            <w:tcW w:w="1814" w:type="dxa"/>
          </w:tcPr>
          <w:p>
            <w:pPr>
              <w:pStyle w:val="0"/>
            </w:pPr>
            <w:r>
              <w:rPr>
                <w:sz w:val="24"/>
              </w:rPr>
            </w:r>
          </w:p>
        </w:tc>
        <w:tc>
          <w:tcPr>
            <w:tcW w:w="964" w:type="dxa"/>
          </w:tcPr>
          <w:p>
            <w:pPr>
              <w:pStyle w:val="0"/>
            </w:pPr>
            <w:r>
              <w:rPr>
                <w:sz w:val="24"/>
              </w:rPr>
            </w:r>
          </w:p>
        </w:tc>
        <w:tc>
          <w:tcPr>
            <w:tcW w:w="1020" w:type="dxa"/>
          </w:tcPr>
          <w:p>
            <w:pPr>
              <w:pStyle w:val="0"/>
            </w:pPr>
            <w:r>
              <w:rPr>
                <w:sz w:val="24"/>
              </w:rPr>
            </w:r>
          </w:p>
        </w:tc>
      </w:tr>
    </w:tbl>
    <w:p>
      <w:pPr>
        <w:pStyle w:val="0"/>
        <w:jc w:val="both"/>
      </w:pPr>
      <w:r>
        <w:rPr>
          <w:sz w:val="24"/>
        </w:rPr>
      </w:r>
    </w:p>
    <w:tbl>
      <w:tblPr>
        <w:tblInd w:w="0" w:type="dxa"/>
        <w:tblLayout w:type="fixed"/>
        <w:tblBorders>
          <w:left w:val="single" w:sz="4"/>
          <w:bottom w:val="single" w:sz="4"/>
          <w:right w:val="single" w:sz="4"/>
          <w:insideV w:val="single" w:sz="4"/>
          <w:insideH w:val="single" w:sz="4"/>
        </w:tblBorders>
        <w:tblCellMar>
          <w:top w:w="102" w:type="dxa"/>
          <w:left w:w="62" w:type="dxa"/>
          <w:bottom w:w="102" w:type="dxa"/>
          <w:right w:w="62" w:type="dxa"/>
        </w:tblCellMar>
      </w:tblPr>
      <w:tblGrid>
        <w:gridCol w:w="566"/>
        <w:gridCol w:w="4251"/>
        <w:gridCol w:w="4251"/>
      </w:tblGrid>
      <w:tr>
        <w:tblPrEx>
          <w:tblBorders>
            <w:left w:val="nil"/>
            <w:right w:val="nil"/>
          </w:tblBorders>
        </w:tblPrEx>
        <w:tc>
          <w:tcPr>
            <w:gridSpan w:val="3"/>
            <w:tcW w:w="9068" w:type="dxa"/>
            <w:tcBorders>
              <w:top w:val="nil"/>
              <w:left w:val="nil"/>
              <w:right w:val="nil"/>
            </w:tcBorders>
          </w:tcPr>
          <w:p>
            <w:pPr>
              <w:pStyle w:val="0"/>
              <w:outlineLvl w:val="3"/>
              <w:ind w:firstLine="283"/>
              <w:jc w:val="both"/>
            </w:pPr>
            <w:r>
              <w:rPr>
                <w:sz w:val="24"/>
              </w:rPr>
              <w:t xml:space="preserve">Лицевой счет в финансовом органе</w:t>
            </w:r>
          </w:p>
        </w:tc>
      </w:tr>
      <w:tr>
        <w:tc>
          <w:tcPr>
            <w:tcW w:w="566" w:type="dxa"/>
          </w:tcPr>
          <w:p>
            <w:pPr>
              <w:pStyle w:val="0"/>
              <w:jc w:val="center"/>
            </w:pPr>
            <w:r>
              <w:rPr>
                <w:sz w:val="24"/>
              </w:rPr>
              <w:t xml:space="preserve">N пп</w:t>
            </w:r>
          </w:p>
        </w:tc>
        <w:tc>
          <w:tcPr>
            <w:tcW w:w="4251" w:type="dxa"/>
          </w:tcPr>
          <w:p>
            <w:pPr>
              <w:pStyle w:val="0"/>
              <w:jc w:val="center"/>
            </w:pPr>
            <w:r>
              <w:rPr>
                <w:sz w:val="24"/>
              </w:rPr>
              <w:t xml:space="preserve">Лицевой счет</w:t>
            </w:r>
          </w:p>
        </w:tc>
        <w:tc>
          <w:tcPr>
            <w:tcW w:w="4251" w:type="dxa"/>
          </w:tcPr>
          <w:p>
            <w:pPr>
              <w:pStyle w:val="0"/>
              <w:jc w:val="center"/>
            </w:pPr>
            <w:r>
              <w:rPr>
                <w:sz w:val="24"/>
              </w:rPr>
              <w:t xml:space="preserve">Предназначение лицевого счета организации</w:t>
            </w:r>
          </w:p>
        </w:tc>
      </w:tr>
      <w:tr>
        <w:tc>
          <w:tcPr>
            <w:tcW w:w="566" w:type="dxa"/>
          </w:tcPr>
          <w:p>
            <w:pPr>
              <w:pStyle w:val="0"/>
            </w:pPr>
            <w:r>
              <w:rPr>
                <w:sz w:val="24"/>
              </w:rPr>
            </w:r>
          </w:p>
        </w:tc>
        <w:tc>
          <w:tcPr>
            <w:tcW w:w="4251" w:type="dxa"/>
          </w:tcPr>
          <w:p>
            <w:pPr>
              <w:pStyle w:val="0"/>
            </w:pPr>
            <w:r>
              <w:rPr>
                <w:sz w:val="24"/>
              </w:rPr>
            </w:r>
          </w:p>
        </w:tc>
        <w:tc>
          <w:tcPr>
            <w:tcW w:w="4251" w:type="dxa"/>
          </w:tcPr>
          <w:p>
            <w:pPr>
              <w:pStyle w:val="0"/>
            </w:pPr>
            <w:r>
              <w:rPr>
                <w:sz w:val="24"/>
              </w:rPr>
            </w:r>
          </w:p>
        </w:tc>
      </w:tr>
    </w:tbl>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2"/>
        <w:jc w:val="right"/>
      </w:pPr>
      <w:r>
        <w:rPr>
          <w:sz w:val="24"/>
        </w:rPr>
        <w:t xml:space="preserve">Приложение N 2</w:t>
      </w:r>
    </w:p>
    <w:p>
      <w:pPr>
        <w:pStyle w:val="0"/>
        <w:jc w:val="right"/>
      </w:pPr>
      <w:r>
        <w:rPr>
          <w:sz w:val="24"/>
        </w:rPr>
        <w:t xml:space="preserve">к уведомлению о включении медицинской</w:t>
      </w:r>
    </w:p>
    <w:p>
      <w:pPr>
        <w:pStyle w:val="0"/>
        <w:jc w:val="right"/>
      </w:pPr>
      <w:r>
        <w:rPr>
          <w:sz w:val="24"/>
        </w:rPr>
        <w:t xml:space="preserve">организации в реестр медицинских</w:t>
      </w:r>
    </w:p>
    <w:p>
      <w:pPr>
        <w:pStyle w:val="0"/>
        <w:jc w:val="right"/>
      </w:pPr>
      <w:r>
        <w:rPr>
          <w:sz w:val="24"/>
        </w:rPr>
        <w:t xml:space="preserve">организаций, осуществляющих деятельность</w:t>
      </w:r>
    </w:p>
    <w:p>
      <w:pPr>
        <w:pStyle w:val="0"/>
        <w:jc w:val="right"/>
      </w:pPr>
      <w:r>
        <w:rPr>
          <w:sz w:val="24"/>
        </w:rPr>
        <w:t xml:space="preserve">в сфере обязательного медицинского</w:t>
      </w:r>
    </w:p>
    <w:p>
      <w:pPr>
        <w:pStyle w:val="0"/>
        <w:jc w:val="right"/>
      </w:pPr>
      <w:r>
        <w:rPr>
          <w:sz w:val="24"/>
        </w:rPr>
        <w:t xml:space="preserve">страхования по территориальной</w:t>
      </w:r>
    </w:p>
    <w:p>
      <w:pPr>
        <w:pStyle w:val="0"/>
        <w:jc w:val="right"/>
      </w:pPr>
      <w:r>
        <w:rPr>
          <w:sz w:val="24"/>
        </w:rPr>
        <w:t xml:space="preserve">программе обязательного</w:t>
      </w:r>
    </w:p>
    <w:p>
      <w:pPr>
        <w:pStyle w:val="0"/>
        <w:jc w:val="right"/>
      </w:pPr>
      <w:r>
        <w:rPr>
          <w:sz w:val="24"/>
        </w:rPr>
        <w:t xml:space="preserve">медицинского страхования</w:t>
      </w:r>
    </w:p>
    <w:p>
      <w:pPr>
        <w:pStyle w:val="0"/>
        <w:jc w:val="both"/>
      </w:pPr>
      <w:r>
        <w:rPr>
          <w:sz w:val="24"/>
        </w:rPr>
      </w:r>
    </w:p>
    <w:tbl>
      <w:tblPr>
        <w:tblInd w:w="0" w:type="dxa"/>
        <w:tblLayout w:type="fixed"/>
        <w:tblCellMar>
          <w:top w:w="102" w:type="dxa"/>
          <w:left w:w="62" w:type="dxa"/>
          <w:bottom w:w="102" w:type="dxa"/>
          <w:right w:w="62" w:type="dxa"/>
        </w:tblCellMar>
      </w:tblPr>
      <w:tblGrid>
        <w:gridCol w:w="2267"/>
        <w:gridCol w:w="1247"/>
        <w:gridCol w:w="340"/>
        <w:gridCol w:w="5216"/>
      </w:tblGrid>
      <w:tr>
        <w:tc>
          <w:tcPr>
            <w:gridSpan w:val="4"/>
            <w:tcW w:w="9070" w:type="dxa"/>
            <w:tcBorders>
              <w:top w:val="nil"/>
              <w:left w:val="nil"/>
              <w:bottom w:val="nil"/>
              <w:right w:val="nil"/>
            </w:tcBorders>
          </w:tcPr>
          <w:p>
            <w:pPr>
              <w:pStyle w:val="0"/>
              <w:jc w:val="center"/>
            </w:pPr>
            <w:r>
              <w:rPr>
                <w:sz w:val="24"/>
              </w:rPr>
              <w:t xml:space="preserve">Сведения</w:t>
            </w:r>
          </w:p>
          <w:p>
            <w:pPr>
              <w:pStyle w:val="0"/>
              <w:jc w:val="center"/>
            </w:pPr>
            <w:r>
              <w:rPr>
                <w:sz w:val="24"/>
              </w:rPr>
              <w:t xml:space="preserve">о лицензии на осуществление медицинской деятельности</w:t>
            </w:r>
          </w:p>
        </w:tc>
      </w:tr>
      <w:tr>
        <w:tc>
          <w:tcPr>
            <w:gridSpan w:val="4"/>
            <w:tcW w:w="9070" w:type="dxa"/>
            <w:tcBorders>
              <w:top w:val="nil"/>
              <w:left w:val="nil"/>
              <w:bottom w:val="nil"/>
              <w:right w:val="nil"/>
            </w:tcBorders>
          </w:tcPr>
          <w:p>
            <w:pPr>
              <w:pStyle w:val="0"/>
              <w:jc w:val="both"/>
            </w:pPr>
            <w:r>
              <w:rPr>
                <w:sz w:val="24"/>
              </w:rPr>
            </w:r>
          </w:p>
        </w:tc>
      </w:tr>
      <w:tr>
        <w:tc>
          <w:tcPr>
            <w:tcW w:w="2267" w:type="dxa"/>
            <w:vAlign w:val="bottom"/>
            <w:tcBorders>
              <w:top w:val="nil"/>
              <w:left w:val="nil"/>
              <w:bottom w:val="nil"/>
              <w:right w:val="nil"/>
            </w:tcBorders>
          </w:tcPr>
          <w:p>
            <w:pPr>
              <w:pStyle w:val="0"/>
              <w:ind w:firstLine="283"/>
              <w:jc w:val="both"/>
            </w:pPr>
            <w:r>
              <w:rPr>
                <w:sz w:val="24"/>
              </w:rPr>
              <w:t xml:space="preserve">N уведомления</w:t>
            </w:r>
          </w:p>
        </w:tc>
        <w:tc>
          <w:tcPr>
            <w:tcW w:w="1247" w:type="dxa"/>
            <w:tcBorders>
              <w:top w:val="nil"/>
              <w:left w:val="nil"/>
              <w:bottom w:val="single" w:sz="4"/>
              <w:right w:val="nil"/>
            </w:tcBorders>
          </w:tcPr>
          <w:p>
            <w:pPr>
              <w:pStyle w:val="0"/>
            </w:pPr>
            <w:r>
              <w:rPr>
                <w:sz w:val="24"/>
              </w:rPr>
            </w:r>
          </w:p>
        </w:tc>
        <w:tc>
          <w:tcPr>
            <w:tcW w:w="340" w:type="dxa"/>
            <w:tcBorders>
              <w:top w:val="nil"/>
              <w:left w:val="nil"/>
              <w:bottom w:val="nil"/>
              <w:right w:val="nil"/>
            </w:tcBorders>
          </w:tcPr>
          <w:p>
            <w:pPr>
              <w:pStyle w:val="0"/>
            </w:pPr>
            <w:r>
              <w:rPr>
                <w:sz w:val="24"/>
              </w:rPr>
            </w:r>
          </w:p>
        </w:tc>
        <w:tc>
          <w:tcPr>
            <w:tcW w:w="5216" w:type="dxa"/>
            <w:tcBorders>
              <w:top w:val="nil"/>
              <w:left w:val="nil"/>
              <w:bottom w:val="single" w:sz="4"/>
              <w:right w:val="nil"/>
            </w:tcBorders>
          </w:tcPr>
          <w:p>
            <w:pPr>
              <w:pStyle w:val="0"/>
            </w:pPr>
            <w:r>
              <w:rPr>
                <w:sz w:val="24"/>
              </w:rPr>
            </w:r>
          </w:p>
        </w:tc>
      </w:tr>
      <w:tr>
        <w:tc>
          <w:tcPr>
            <w:gridSpan w:val="2"/>
            <w:tcW w:w="3514" w:type="dxa"/>
            <w:tcBorders>
              <w:top w:val="nil"/>
              <w:left w:val="nil"/>
              <w:bottom w:val="nil"/>
              <w:right w:val="nil"/>
            </w:tcBorders>
          </w:tcPr>
          <w:p>
            <w:pPr>
              <w:pStyle w:val="0"/>
            </w:pPr>
            <w:r>
              <w:rPr>
                <w:sz w:val="24"/>
              </w:rPr>
            </w:r>
          </w:p>
        </w:tc>
        <w:tc>
          <w:tcPr>
            <w:tcW w:w="340" w:type="dxa"/>
            <w:tcBorders>
              <w:top w:val="nil"/>
              <w:left w:val="nil"/>
              <w:bottom w:val="nil"/>
              <w:right w:val="nil"/>
            </w:tcBorders>
          </w:tcPr>
          <w:p>
            <w:pPr>
              <w:pStyle w:val="0"/>
            </w:pPr>
            <w:r>
              <w:rPr>
                <w:sz w:val="24"/>
              </w:rPr>
            </w:r>
          </w:p>
        </w:tc>
        <w:tc>
          <w:tcPr>
            <w:tcW w:w="5216" w:type="dxa"/>
            <w:tcBorders>
              <w:top w:val="single" w:sz="4"/>
              <w:left w:val="nil"/>
              <w:bottom w:val="nil"/>
              <w:right w:val="nil"/>
            </w:tcBorders>
          </w:tcPr>
          <w:p>
            <w:pPr>
              <w:pStyle w:val="0"/>
              <w:jc w:val="center"/>
            </w:pPr>
            <w:r>
              <w:rPr>
                <w:sz w:val="24"/>
              </w:rPr>
              <w:t xml:space="preserve">(наименование медицинской организации)</w:t>
            </w:r>
          </w:p>
        </w:tc>
      </w:tr>
    </w:tbl>
    <w:p>
      <w:pPr>
        <w:pStyle w:val="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566"/>
        <w:gridCol w:w="1361"/>
        <w:gridCol w:w="1587"/>
        <w:gridCol w:w="2041"/>
        <w:gridCol w:w="2040"/>
        <w:gridCol w:w="1474"/>
      </w:tblGrid>
      <w:tr>
        <w:tc>
          <w:tcPr>
            <w:tcW w:w="566" w:type="dxa"/>
          </w:tcPr>
          <w:p>
            <w:pPr>
              <w:pStyle w:val="0"/>
              <w:jc w:val="center"/>
            </w:pPr>
            <w:r>
              <w:rPr>
                <w:sz w:val="24"/>
              </w:rPr>
              <w:t xml:space="preserve">N пп</w:t>
            </w:r>
          </w:p>
        </w:tc>
        <w:tc>
          <w:tcPr>
            <w:tcW w:w="1361" w:type="dxa"/>
          </w:tcPr>
          <w:p>
            <w:pPr>
              <w:pStyle w:val="0"/>
              <w:jc w:val="center"/>
            </w:pPr>
            <w:r>
              <w:rPr>
                <w:sz w:val="24"/>
              </w:rPr>
              <w:t xml:space="preserve">Номер лицензии</w:t>
            </w:r>
          </w:p>
        </w:tc>
        <w:tc>
          <w:tcPr>
            <w:tcW w:w="1587" w:type="dxa"/>
          </w:tcPr>
          <w:p>
            <w:pPr>
              <w:pStyle w:val="0"/>
              <w:jc w:val="center"/>
            </w:pPr>
            <w:r>
              <w:rPr>
                <w:sz w:val="24"/>
              </w:rPr>
              <w:t xml:space="preserve">Дата регистрации</w:t>
            </w:r>
          </w:p>
        </w:tc>
        <w:tc>
          <w:tcPr>
            <w:tcW w:w="2041" w:type="dxa"/>
          </w:tcPr>
          <w:p>
            <w:pPr>
              <w:pStyle w:val="0"/>
              <w:jc w:val="center"/>
            </w:pPr>
            <w:r>
              <w:rPr>
                <w:sz w:val="24"/>
              </w:rPr>
              <w:t xml:space="preserve">Лицензирующий орган</w:t>
            </w:r>
          </w:p>
        </w:tc>
        <w:tc>
          <w:tcPr>
            <w:tcW w:w="2040" w:type="dxa"/>
          </w:tcPr>
          <w:p>
            <w:pPr>
              <w:pStyle w:val="0"/>
              <w:jc w:val="center"/>
            </w:pPr>
            <w:r>
              <w:rPr>
                <w:sz w:val="24"/>
              </w:rPr>
              <w:t xml:space="preserve">Адреса оказания медицинской помощи</w:t>
            </w:r>
          </w:p>
        </w:tc>
        <w:tc>
          <w:tcPr>
            <w:tcW w:w="1474" w:type="dxa"/>
          </w:tcPr>
          <w:p>
            <w:pPr>
              <w:pStyle w:val="0"/>
              <w:jc w:val="center"/>
            </w:pPr>
            <w:r>
              <w:rPr>
                <w:sz w:val="24"/>
              </w:rPr>
              <w:t xml:space="preserve">Работы/услуги</w:t>
            </w:r>
          </w:p>
        </w:tc>
      </w:tr>
      <w:tr>
        <w:tc>
          <w:tcPr>
            <w:tcW w:w="566" w:type="dxa"/>
            <w:vMerge w:val="restart"/>
          </w:tcPr>
          <w:p>
            <w:pPr>
              <w:pStyle w:val="0"/>
            </w:pPr>
            <w:r>
              <w:rPr>
                <w:sz w:val="24"/>
              </w:rPr>
            </w:r>
          </w:p>
        </w:tc>
        <w:tc>
          <w:tcPr>
            <w:tcW w:w="1361" w:type="dxa"/>
            <w:vMerge w:val="restart"/>
          </w:tcPr>
          <w:p>
            <w:pPr>
              <w:pStyle w:val="0"/>
            </w:pPr>
            <w:r>
              <w:rPr>
                <w:sz w:val="24"/>
              </w:rPr>
            </w:r>
          </w:p>
        </w:tc>
        <w:tc>
          <w:tcPr>
            <w:tcW w:w="1587" w:type="dxa"/>
            <w:vMerge w:val="restart"/>
          </w:tcPr>
          <w:p>
            <w:pPr>
              <w:pStyle w:val="0"/>
            </w:pPr>
            <w:r>
              <w:rPr>
                <w:sz w:val="24"/>
              </w:rPr>
            </w:r>
          </w:p>
        </w:tc>
        <w:tc>
          <w:tcPr>
            <w:tcW w:w="2041" w:type="dxa"/>
            <w:vMerge w:val="restart"/>
          </w:tcPr>
          <w:p>
            <w:pPr>
              <w:pStyle w:val="0"/>
            </w:pPr>
            <w:r>
              <w:rPr>
                <w:sz w:val="24"/>
              </w:rPr>
            </w:r>
          </w:p>
        </w:tc>
        <w:tc>
          <w:tcPr>
            <w:tcW w:w="2040" w:type="dxa"/>
            <w:vMerge w:val="restart"/>
          </w:tcPr>
          <w:p>
            <w:pPr>
              <w:pStyle w:val="0"/>
            </w:pPr>
            <w:r>
              <w:rPr>
                <w:sz w:val="24"/>
              </w:rPr>
            </w:r>
          </w:p>
        </w:tc>
        <w:tc>
          <w:tcPr>
            <w:tcW w:w="1474" w:type="dxa"/>
          </w:tcPr>
          <w:p>
            <w:pPr>
              <w:pStyle w:val="0"/>
            </w:pPr>
            <w:r>
              <w:rPr>
                <w:sz w:val="24"/>
              </w:rPr>
            </w:r>
          </w:p>
        </w:tc>
      </w:tr>
      <w:tr>
        <w:tc>
          <w:tcPr>
            <w:vMerge w:val="continue"/>
          </w:tcPr>
          <w:p/>
        </w:tc>
        <w:tc>
          <w:tcPr>
            <w:vMerge w:val="continue"/>
          </w:tcPr>
          <w:p/>
        </w:tc>
        <w:tc>
          <w:tcPr>
            <w:vMerge w:val="continue"/>
          </w:tcPr>
          <w:p/>
        </w:tc>
        <w:tc>
          <w:tcPr>
            <w:vMerge w:val="continue"/>
          </w:tcPr>
          <w:p/>
        </w:tc>
        <w:tc>
          <w:tcPr>
            <w:vMerge w:val="continue"/>
          </w:tcPr>
          <w:p/>
        </w:tc>
        <w:tc>
          <w:tcPr>
            <w:tcW w:w="1474" w:type="dxa"/>
          </w:tcPr>
          <w:p>
            <w:pPr>
              <w:pStyle w:val="0"/>
            </w:pPr>
            <w:r>
              <w:rPr>
                <w:sz w:val="24"/>
              </w:rPr>
            </w:r>
          </w:p>
        </w:tc>
      </w:tr>
      <w:tr>
        <w:tc>
          <w:tcPr>
            <w:vMerge w:val="continue"/>
          </w:tcPr>
          <w:p/>
        </w:tc>
        <w:tc>
          <w:tcPr>
            <w:vMerge w:val="continue"/>
          </w:tcPr>
          <w:p/>
        </w:tc>
        <w:tc>
          <w:tcPr>
            <w:vMerge w:val="continue"/>
          </w:tcPr>
          <w:p/>
        </w:tc>
        <w:tc>
          <w:tcPr>
            <w:vMerge w:val="continue"/>
          </w:tcPr>
          <w:p/>
        </w:tc>
        <w:tc>
          <w:tcPr>
            <w:vMerge w:val="continue"/>
          </w:tcPr>
          <w:p/>
        </w:tc>
        <w:tc>
          <w:tcPr>
            <w:tcW w:w="1474" w:type="dxa"/>
          </w:tcPr>
          <w:p>
            <w:pPr>
              <w:pStyle w:val="0"/>
            </w:pPr>
            <w:r>
              <w:rPr>
                <w:sz w:val="24"/>
              </w:rPr>
            </w:r>
          </w:p>
        </w:tc>
      </w:tr>
      <w:tr>
        <w:tc>
          <w:tcPr>
            <w:vMerge w:val="continue"/>
          </w:tcPr>
          <w:p/>
        </w:tc>
        <w:tc>
          <w:tcPr>
            <w:vMerge w:val="continue"/>
          </w:tcPr>
          <w:p/>
        </w:tc>
        <w:tc>
          <w:tcPr>
            <w:vMerge w:val="continue"/>
          </w:tcPr>
          <w:p/>
        </w:tc>
        <w:tc>
          <w:tcPr>
            <w:vMerge w:val="continue"/>
          </w:tcPr>
          <w:p/>
        </w:tc>
        <w:tc>
          <w:tcPr>
            <w:vMerge w:val="continue"/>
          </w:tcPr>
          <w:p/>
        </w:tc>
        <w:tc>
          <w:tcPr>
            <w:tcW w:w="1474" w:type="dxa"/>
          </w:tcPr>
          <w:p>
            <w:pPr>
              <w:pStyle w:val="0"/>
            </w:pPr>
            <w:r>
              <w:rPr>
                <w:sz w:val="24"/>
              </w:rPr>
            </w:r>
          </w:p>
        </w:tc>
      </w:tr>
      <w:tr>
        <w:tc>
          <w:tcPr>
            <w:vMerge w:val="continue"/>
          </w:tcPr>
          <w:p/>
        </w:tc>
        <w:tc>
          <w:tcPr>
            <w:vMerge w:val="continue"/>
          </w:tcPr>
          <w:p/>
        </w:tc>
        <w:tc>
          <w:tcPr>
            <w:vMerge w:val="continue"/>
          </w:tcPr>
          <w:p/>
        </w:tc>
        <w:tc>
          <w:tcPr>
            <w:vMerge w:val="continue"/>
          </w:tcPr>
          <w:p/>
        </w:tc>
        <w:tc>
          <w:tcPr>
            <w:vMerge w:val="continue"/>
          </w:tcPr>
          <w:p/>
        </w:tc>
        <w:tc>
          <w:tcPr>
            <w:tcW w:w="1474" w:type="dxa"/>
          </w:tcPr>
          <w:p>
            <w:pPr>
              <w:pStyle w:val="0"/>
            </w:pPr>
            <w:r>
              <w:rPr>
                <w:sz w:val="24"/>
              </w:rPr>
            </w:r>
          </w:p>
        </w:tc>
      </w:tr>
      <w:tr>
        <w:tc>
          <w:tcPr>
            <w:vMerge w:val="continue"/>
          </w:tcPr>
          <w:p/>
        </w:tc>
        <w:tc>
          <w:tcPr>
            <w:vMerge w:val="continue"/>
          </w:tcPr>
          <w:p/>
        </w:tc>
        <w:tc>
          <w:tcPr>
            <w:vMerge w:val="continue"/>
          </w:tcPr>
          <w:p/>
        </w:tc>
        <w:tc>
          <w:tcPr>
            <w:vMerge w:val="continue"/>
          </w:tcPr>
          <w:p/>
        </w:tc>
        <w:tc>
          <w:tcPr>
            <w:vMerge w:val="continue"/>
          </w:tcPr>
          <w:p/>
        </w:tc>
        <w:tc>
          <w:tcPr>
            <w:tcW w:w="1474" w:type="dxa"/>
          </w:tcPr>
          <w:p>
            <w:pPr>
              <w:pStyle w:val="0"/>
            </w:pPr>
            <w:r>
              <w:rPr>
                <w:sz w:val="24"/>
              </w:rPr>
            </w:r>
          </w:p>
        </w:tc>
      </w:tr>
      <w:tr>
        <w:tc>
          <w:tcPr>
            <w:vMerge w:val="continue"/>
          </w:tcPr>
          <w:p/>
        </w:tc>
        <w:tc>
          <w:tcPr>
            <w:vMerge w:val="continue"/>
          </w:tcPr>
          <w:p/>
        </w:tc>
        <w:tc>
          <w:tcPr>
            <w:vMerge w:val="continue"/>
          </w:tcPr>
          <w:p/>
        </w:tc>
        <w:tc>
          <w:tcPr>
            <w:vMerge w:val="continue"/>
          </w:tcPr>
          <w:p/>
        </w:tc>
        <w:tc>
          <w:tcPr>
            <w:vMerge w:val="continue"/>
          </w:tcPr>
          <w:p/>
        </w:tc>
        <w:tc>
          <w:tcPr>
            <w:tcW w:w="1474" w:type="dxa"/>
          </w:tcPr>
          <w:p>
            <w:pPr>
              <w:pStyle w:val="0"/>
            </w:pPr>
            <w:r>
              <w:rPr>
                <w:sz w:val="24"/>
              </w:rPr>
            </w:r>
          </w:p>
        </w:tc>
      </w:tr>
      <w:tr>
        <w:tc>
          <w:tcPr>
            <w:vMerge w:val="continue"/>
          </w:tcPr>
          <w:p/>
        </w:tc>
        <w:tc>
          <w:tcPr>
            <w:vMerge w:val="continue"/>
          </w:tcPr>
          <w:p/>
        </w:tc>
        <w:tc>
          <w:tcPr>
            <w:vMerge w:val="continue"/>
          </w:tcPr>
          <w:p/>
        </w:tc>
        <w:tc>
          <w:tcPr>
            <w:vMerge w:val="continue"/>
          </w:tcPr>
          <w:p/>
        </w:tc>
        <w:tc>
          <w:tcPr>
            <w:vMerge w:val="continue"/>
          </w:tcPr>
          <w:p/>
        </w:tc>
        <w:tc>
          <w:tcPr>
            <w:tcW w:w="1474" w:type="dxa"/>
          </w:tcPr>
          <w:p>
            <w:pPr>
              <w:pStyle w:val="0"/>
            </w:pPr>
            <w:r>
              <w:rPr>
                <w:sz w:val="24"/>
              </w:rPr>
            </w:r>
          </w:p>
        </w:tc>
      </w:tr>
      <w:tr>
        <w:tc>
          <w:tcPr>
            <w:vMerge w:val="continue"/>
          </w:tcPr>
          <w:p/>
        </w:tc>
        <w:tc>
          <w:tcPr>
            <w:vMerge w:val="continue"/>
          </w:tcPr>
          <w:p/>
        </w:tc>
        <w:tc>
          <w:tcPr>
            <w:vMerge w:val="continue"/>
          </w:tcPr>
          <w:p/>
        </w:tc>
        <w:tc>
          <w:tcPr>
            <w:vMerge w:val="continue"/>
          </w:tcPr>
          <w:p/>
        </w:tc>
        <w:tc>
          <w:tcPr>
            <w:vMerge w:val="continue"/>
          </w:tcPr>
          <w:p/>
        </w:tc>
        <w:tc>
          <w:tcPr>
            <w:tcW w:w="1474" w:type="dxa"/>
          </w:tcPr>
          <w:p>
            <w:pPr>
              <w:pStyle w:val="0"/>
            </w:pPr>
            <w:r>
              <w:rPr>
                <w:sz w:val="24"/>
              </w:rPr>
            </w:r>
          </w:p>
        </w:tc>
      </w:tr>
      <w:tr>
        <w:tc>
          <w:tcPr>
            <w:vMerge w:val="continue"/>
          </w:tcPr>
          <w:p/>
        </w:tc>
        <w:tc>
          <w:tcPr>
            <w:vMerge w:val="continue"/>
          </w:tcPr>
          <w:p/>
        </w:tc>
        <w:tc>
          <w:tcPr>
            <w:vMerge w:val="continue"/>
          </w:tcPr>
          <w:p/>
        </w:tc>
        <w:tc>
          <w:tcPr>
            <w:vMerge w:val="continue"/>
          </w:tcPr>
          <w:p/>
        </w:tc>
        <w:tc>
          <w:tcPr>
            <w:vMerge w:val="continue"/>
          </w:tcPr>
          <w:p/>
        </w:tc>
        <w:tc>
          <w:tcPr>
            <w:tcW w:w="1474" w:type="dxa"/>
          </w:tcPr>
          <w:p>
            <w:pPr>
              <w:pStyle w:val="0"/>
            </w:pPr>
            <w:r>
              <w:rPr>
                <w:sz w:val="24"/>
              </w:rPr>
            </w:r>
          </w:p>
        </w:tc>
      </w:tr>
      <w:tr>
        <w:tc>
          <w:tcPr>
            <w:vMerge w:val="continue"/>
          </w:tcPr>
          <w:p/>
        </w:tc>
        <w:tc>
          <w:tcPr>
            <w:vMerge w:val="continue"/>
          </w:tcPr>
          <w:p/>
        </w:tc>
        <w:tc>
          <w:tcPr>
            <w:vMerge w:val="continue"/>
          </w:tcPr>
          <w:p/>
        </w:tc>
        <w:tc>
          <w:tcPr>
            <w:vMerge w:val="continue"/>
          </w:tcPr>
          <w:p/>
        </w:tc>
        <w:tc>
          <w:tcPr>
            <w:vMerge w:val="continue"/>
          </w:tcPr>
          <w:p/>
        </w:tc>
        <w:tc>
          <w:tcPr>
            <w:tcW w:w="1474" w:type="dxa"/>
          </w:tcPr>
          <w:p>
            <w:pPr>
              <w:pStyle w:val="0"/>
            </w:pPr>
            <w:r>
              <w:rPr>
                <w:sz w:val="24"/>
              </w:rPr>
            </w:r>
          </w:p>
        </w:tc>
      </w:tr>
    </w:tbl>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2"/>
        <w:jc w:val="right"/>
      </w:pPr>
      <w:r>
        <w:rPr>
          <w:sz w:val="24"/>
        </w:rPr>
        <w:t xml:space="preserve">Приложение N 3</w:t>
      </w:r>
    </w:p>
    <w:p>
      <w:pPr>
        <w:pStyle w:val="0"/>
        <w:jc w:val="right"/>
      </w:pPr>
      <w:r>
        <w:rPr>
          <w:sz w:val="24"/>
        </w:rPr>
        <w:t xml:space="preserve">к уведомлению о включении медицинской</w:t>
      </w:r>
    </w:p>
    <w:p>
      <w:pPr>
        <w:pStyle w:val="0"/>
        <w:jc w:val="right"/>
      </w:pPr>
      <w:r>
        <w:rPr>
          <w:sz w:val="24"/>
        </w:rPr>
        <w:t xml:space="preserve">организации в реестр медицинских</w:t>
      </w:r>
    </w:p>
    <w:p>
      <w:pPr>
        <w:pStyle w:val="0"/>
        <w:jc w:val="right"/>
      </w:pPr>
      <w:r>
        <w:rPr>
          <w:sz w:val="24"/>
        </w:rPr>
        <w:t xml:space="preserve">организаций, осуществляющих деятельность</w:t>
      </w:r>
    </w:p>
    <w:p>
      <w:pPr>
        <w:pStyle w:val="0"/>
        <w:jc w:val="right"/>
      </w:pPr>
      <w:r>
        <w:rPr>
          <w:sz w:val="24"/>
        </w:rPr>
        <w:t xml:space="preserve">в сфере обязательного медицинского</w:t>
      </w:r>
    </w:p>
    <w:p>
      <w:pPr>
        <w:pStyle w:val="0"/>
        <w:jc w:val="right"/>
      </w:pPr>
      <w:r>
        <w:rPr>
          <w:sz w:val="24"/>
        </w:rPr>
        <w:t xml:space="preserve">страхования по территориальной</w:t>
      </w:r>
    </w:p>
    <w:p>
      <w:pPr>
        <w:pStyle w:val="0"/>
        <w:jc w:val="right"/>
      </w:pPr>
      <w:r>
        <w:rPr>
          <w:sz w:val="24"/>
        </w:rPr>
        <w:t xml:space="preserve">программе обязательного</w:t>
      </w:r>
    </w:p>
    <w:p>
      <w:pPr>
        <w:pStyle w:val="0"/>
        <w:jc w:val="right"/>
      </w:pPr>
      <w:r>
        <w:rPr>
          <w:sz w:val="24"/>
        </w:rPr>
        <w:t xml:space="preserve">медицинского страхования</w:t>
      </w:r>
    </w:p>
    <w:p>
      <w:pPr>
        <w:pStyle w:val="0"/>
        <w:jc w:val="both"/>
      </w:pPr>
      <w:r>
        <w:rPr>
          <w:sz w:val="24"/>
        </w:rPr>
      </w:r>
    </w:p>
    <w:p>
      <w:pPr>
        <w:pStyle w:val="0"/>
        <w:jc w:val="center"/>
      </w:pPr>
      <w:r>
        <w:rPr>
          <w:sz w:val="24"/>
        </w:rPr>
        <w:t xml:space="preserve">Сведения</w:t>
      </w:r>
    </w:p>
    <w:p>
      <w:pPr>
        <w:pStyle w:val="0"/>
        <w:jc w:val="center"/>
      </w:pPr>
      <w:r>
        <w:rPr>
          <w:sz w:val="24"/>
        </w:rPr>
        <w:t xml:space="preserve">об обособленных структурных подразделениях медицинской</w:t>
      </w:r>
    </w:p>
    <w:p>
      <w:pPr>
        <w:pStyle w:val="0"/>
        <w:jc w:val="center"/>
      </w:pPr>
      <w:r>
        <w:rPr>
          <w:sz w:val="24"/>
        </w:rPr>
        <w:t xml:space="preserve">организации, предлагаемых к участию в реализации</w:t>
      </w:r>
    </w:p>
    <w:p>
      <w:pPr>
        <w:pStyle w:val="0"/>
        <w:jc w:val="center"/>
      </w:pPr>
      <w:r>
        <w:rPr>
          <w:sz w:val="24"/>
        </w:rPr>
        <w:t xml:space="preserve">территориальной программы на соответствующий</w:t>
      </w:r>
    </w:p>
    <w:p>
      <w:pPr>
        <w:pStyle w:val="0"/>
        <w:jc w:val="center"/>
      </w:pPr>
      <w:r>
        <w:rPr>
          <w:sz w:val="24"/>
        </w:rPr>
        <w:t xml:space="preserve">финансовый год страхования</w:t>
      </w:r>
    </w:p>
    <w:p>
      <w:pPr>
        <w:pStyle w:val="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5159"/>
        <w:gridCol w:w="567"/>
        <w:gridCol w:w="3345"/>
      </w:tblGrid>
      <w:tr>
        <w:tc>
          <w:tcPr>
            <w:tcW w:w="5159" w:type="dxa"/>
            <w:vAlign w:val="center"/>
          </w:tcPr>
          <w:p>
            <w:pPr>
              <w:pStyle w:val="0"/>
            </w:pPr>
            <w:r>
              <w:rPr>
                <w:sz w:val="24"/>
              </w:rPr>
              <w:t xml:space="preserve">Полное наименование обособленного структурного подразделения медицинской организации в соответствии со сведениями ЕГРЮЛ</w:t>
            </w:r>
          </w:p>
        </w:tc>
        <w:tc>
          <w:tcPr>
            <w:tcW w:w="567" w:type="dxa"/>
            <w:vAlign w:val="center"/>
          </w:tcPr>
          <w:p>
            <w:pPr>
              <w:pStyle w:val="0"/>
              <w:jc w:val="center"/>
            </w:pPr>
            <w:r>
              <w:rPr>
                <w:sz w:val="24"/>
              </w:rPr>
              <w:t xml:space="preserve">1</w:t>
            </w:r>
          </w:p>
        </w:tc>
        <w:tc>
          <w:tcPr>
            <w:tcW w:w="3345" w:type="dxa"/>
          </w:tcPr>
          <w:p>
            <w:pPr>
              <w:pStyle w:val="0"/>
            </w:pPr>
            <w:r>
              <w:rPr>
                <w:sz w:val="24"/>
              </w:rPr>
            </w:r>
          </w:p>
        </w:tc>
      </w:tr>
      <w:tr>
        <w:tc>
          <w:tcPr>
            <w:tcW w:w="5159" w:type="dxa"/>
            <w:vAlign w:val="center"/>
          </w:tcPr>
          <w:p>
            <w:pPr>
              <w:pStyle w:val="0"/>
            </w:pPr>
            <w:r>
              <w:rPr>
                <w:sz w:val="24"/>
              </w:rPr>
              <w:t xml:space="preserve">Вид обособленного структурного подразделения медицинской организации в соответствии с номенклатурой медицинских организаций</w:t>
            </w:r>
          </w:p>
        </w:tc>
        <w:tc>
          <w:tcPr>
            <w:tcW w:w="567" w:type="dxa"/>
            <w:vAlign w:val="center"/>
          </w:tcPr>
          <w:p>
            <w:pPr>
              <w:pStyle w:val="0"/>
              <w:jc w:val="center"/>
            </w:pPr>
            <w:r>
              <w:rPr>
                <w:sz w:val="24"/>
              </w:rPr>
              <w:t xml:space="preserve">2</w:t>
            </w:r>
          </w:p>
        </w:tc>
        <w:tc>
          <w:tcPr>
            <w:tcW w:w="3345" w:type="dxa"/>
          </w:tcPr>
          <w:p>
            <w:pPr>
              <w:pStyle w:val="0"/>
            </w:pPr>
            <w:r>
              <w:rPr>
                <w:sz w:val="24"/>
              </w:rPr>
            </w:r>
          </w:p>
        </w:tc>
      </w:tr>
      <w:tr>
        <w:tc>
          <w:tcPr>
            <w:tcW w:w="5159" w:type="dxa"/>
            <w:vAlign w:val="center"/>
          </w:tcPr>
          <w:p>
            <w:pPr>
              <w:pStyle w:val="0"/>
            </w:pPr>
            <w:r>
              <w:rPr>
                <w:sz w:val="24"/>
              </w:rPr>
              <w:t xml:space="preserve">Адрес обособленного структурного подразделения медицинской организации в пределах места нахождения обособленного структурного подразделения медицинской организации</w:t>
            </w:r>
          </w:p>
        </w:tc>
        <w:tc>
          <w:tcPr>
            <w:tcW w:w="567" w:type="dxa"/>
            <w:vAlign w:val="center"/>
          </w:tcPr>
          <w:p>
            <w:pPr>
              <w:pStyle w:val="0"/>
              <w:jc w:val="center"/>
            </w:pPr>
            <w:r>
              <w:rPr>
                <w:sz w:val="24"/>
              </w:rPr>
              <w:t xml:space="preserve">3</w:t>
            </w:r>
          </w:p>
        </w:tc>
        <w:tc>
          <w:tcPr>
            <w:tcW w:w="3345" w:type="dxa"/>
          </w:tcPr>
          <w:p>
            <w:pPr>
              <w:pStyle w:val="0"/>
            </w:pPr>
            <w:r>
              <w:rPr>
                <w:sz w:val="24"/>
              </w:rPr>
            </w:r>
          </w:p>
        </w:tc>
      </w:tr>
      <w:tr>
        <w:tc>
          <w:tcPr>
            <w:tcW w:w="5159" w:type="dxa"/>
            <w:vAlign w:val="center"/>
          </w:tcPr>
          <w:p>
            <w:pPr>
              <w:pStyle w:val="0"/>
            </w:pPr>
            <w:r>
              <w:rPr>
                <w:sz w:val="24"/>
              </w:rPr>
              <w:t xml:space="preserve">Уникальный номер адреса обособленного структурного подразделения медицинской организации в пределах места нахождения обособленного структурного подразделения медицинской организации в государственном адресном реестре</w:t>
            </w:r>
          </w:p>
        </w:tc>
        <w:tc>
          <w:tcPr>
            <w:tcW w:w="567" w:type="dxa"/>
            <w:vAlign w:val="center"/>
          </w:tcPr>
          <w:p>
            <w:pPr>
              <w:pStyle w:val="0"/>
              <w:jc w:val="center"/>
            </w:pPr>
            <w:r>
              <w:rPr>
                <w:sz w:val="24"/>
              </w:rPr>
              <w:t xml:space="preserve">4</w:t>
            </w:r>
          </w:p>
        </w:tc>
        <w:tc>
          <w:tcPr>
            <w:tcW w:w="3345" w:type="dxa"/>
          </w:tcPr>
          <w:p>
            <w:pPr>
              <w:pStyle w:val="0"/>
            </w:pPr>
            <w:r>
              <w:rPr>
                <w:sz w:val="24"/>
              </w:rPr>
            </w:r>
          </w:p>
        </w:tc>
      </w:tr>
      <w:tr>
        <w:tc>
          <w:tcPr>
            <w:tcW w:w="5159" w:type="dxa"/>
            <w:vAlign w:val="center"/>
          </w:tcPr>
          <w:p>
            <w:pPr>
              <w:pStyle w:val="0"/>
            </w:pPr>
            <w:r>
              <w:rPr>
                <w:sz w:val="24"/>
              </w:rPr>
              <w:t xml:space="preserve">Адрес электронной почты, номер телефона обособленного структурного подразделения медицинской организации</w:t>
            </w:r>
          </w:p>
        </w:tc>
        <w:tc>
          <w:tcPr>
            <w:tcW w:w="567" w:type="dxa"/>
            <w:vAlign w:val="center"/>
          </w:tcPr>
          <w:p>
            <w:pPr>
              <w:pStyle w:val="0"/>
              <w:jc w:val="center"/>
            </w:pPr>
            <w:r>
              <w:rPr>
                <w:sz w:val="24"/>
              </w:rPr>
              <w:t xml:space="preserve">5</w:t>
            </w:r>
          </w:p>
        </w:tc>
        <w:tc>
          <w:tcPr>
            <w:tcW w:w="3345" w:type="dxa"/>
          </w:tcPr>
          <w:p>
            <w:pPr>
              <w:pStyle w:val="0"/>
            </w:pPr>
            <w:r>
              <w:rPr>
                <w:sz w:val="24"/>
              </w:rPr>
            </w:r>
          </w:p>
        </w:tc>
      </w:tr>
      <w:tr>
        <w:tc>
          <w:tcPr>
            <w:tcW w:w="5159" w:type="dxa"/>
            <w:vAlign w:val="center"/>
          </w:tcPr>
          <w:p>
            <w:pPr>
              <w:pStyle w:val="0"/>
            </w:pPr>
            <w:r>
              <w:rPr>
                <w:sz w:val="24"/>
              </w:rPr>
              <w:t xml:space="preserve">Фамилия, имя, отчество (при наличии) руководителя обособленного структурного подразделения медицинской организации</w:t>
            </w:r>
          </w:p>
        </w:tc>
        <w:tc>
          <w:tcPr>
            <w:tcW w:w="567" w:type="dxa"/>
            <w:vAlign w:val="center"/>
          </w:tcPr>
          <w:p>
            <w:pPr>
              <w:pStyle w:val="0"/>
              <w:jc w:val="center"/>
            </w:pPr>
            <w:r>
              <w:rPr>
                <w:sz w:val="24"/>
              </w:rPr>
              <w:t xml:space="preserve">6</w:t>
            </w:r>
          </w:p>
        </w:tc>
        <w:tc>
          <w:tcPr>
            <w:tcW w:w="3345" w:type="dxa"/>
          </w:tcPr>
          <w:p>
            <w:pPr>
              <w:pStyle w:val="0"/>
            </w:pPr>
            <w:r>
              <w:rPr>
                <w:sz w:val="24"/>
              </w:rPr>
            </w:r>
          </w:p>
        </w:tc>
      </w:tr>
      <w:tr>
        <w:tc>
          <w:tcPr>
            <w:tcW w:w="5159" w:type="dxa"/>
            <w:vAlign w:val="center"/>
          </w:tcPr>
          <w:p>
            <w:pPr>
              <w:pStyle w:val="0"/>
            </w:pPr>
            <w:r>
              <w:rPr>
                <w:sz w:val="24"/>
              </w:rPr>
              <w:t xml:space="preserve">Банковские реквизиты обособленного структурного подразделения медицинской организации (при наличии)</w:t>
            </w:r>
          </w:p>
        </w:tc>
        <w:tc>
          <w:tcPr>
            <w:tcW w:w="567" w:type="dxa"/>
            <w:vAlign w:val="center"/>
          </w:tcPr>
          <w:p>
            <w:pPr>
              <w:pStyle w:val="0"/>
              <w:jc w:val="center"/>
            </w:pPr>
            <w:r>
              <w:rPr>
                <w:sz w:val="24"/>
              </w:rPr>
              <w:t xml:space="preserve">7</w:t>
            </w:r>
          </w:p>
        </w:tc>
        <w:tc>
          <w:tcPr>
            <w:tcW w:w="3345" w:type="dxa"/>
            <w:vAlign w:val="center"/>
          </w:tcPr>
          <w:p>
            <w:pPr>
              <w:pStyle w:val="0"/>
              <w:jc w:val="center"/>
            </w:pPr>
            <w:hyperlink w:history="0" w:anchor="P2526" w:tooltip="Банковские реквизиты медицинской организации">
              <w:r>
                <w:rPr>
                  <w:sz w:val="24"/>
                  <w:color w:val="0000ff"/>
                </w:rPr>
                <w:t xml:space="preserve">Приложение N 1</w:t>
              </w:r>
            </w:hyperlink>
          </w:p>
        </w:tc>
      </w:tr>
    </w:tbl>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2"/>
        <w:jc w:val="right"/>
      </w:pPr>
      <w:r>
        <w:rPr>
          <w:sz w:val="24"/>
        </w:rPr>
        <w:t xml:space="preserve">Приложение N 4</w:t>
      </w:r>
    </w:p>
    <w:p>
      <w:pPr>
        <w:pStyle w:val="0"/>
        <w:jc w:val="right"/>
      </w:pPr>
      <w:r>
        <w:rPr>
          <w:sz w:val="24"/>
        </w:rPr>
        <w:t xml:space="preserve">к уведомлению о включении медицинской</w:t>
      </w:r>
    </w:p>
    <w:p>
      <w:pPr>
        <w:pStyle w:val="0"/>
        <w:jc w:val="right"/>
      </w:pPr>
      <w:r>
        <w:rPr>
          <w:sz w:val="24"/>
        </w:rPr>
        <w:t xml:space="preserve">организации в реестр медицинских</w:t>
      </w:r>
    </w:p>
    <w:p>
      <w:pPr>
        <w:pStyle w:val="0"/>
        <w:jc w:val="right"/>
      </w:pPr>
      <w:r>
        <w:rPr>
          <w:sz w:val="24"/>
        </w:rPr>
        <w:t xml:space="preserve">организаций, осуществляющих деятельность</w:t>
      </w:r>
    </w:p>
    <w:p>
      <w:pPr>
        <w:pStyle w:val="0"/>
        <w:jc w:val="right"/>
      </w:pPr>
      <w:r>
        <w:rPr>
          <w:sz w:val="24"/>
        </w:rPr>
        <w:t xml:space="preserve">в сфере обязательного медицинского</w:t>
      </w:r>
    </w:p>
    <w:p>
      <w:pPr>
        <w:pStyle w:val="0"/>
        <w:jc w:val="right"/>
      </w:pPr>
      <w:r>
        <w:rPr>
          <w:sz w:val="24"/>
        </w:rPr>
        <w:t xml:space="preserve">страхования по территориальной</w:t>
      </w:r>
    </w:p>
    <w:p>
      <w:pPr>
        <w:pStyle w:val="0"/>
        <w:jc w:val="right"/>
      </w:pPr>
      <w:r>
        <w:rPr>
          <w:sz w:val="24"/>
        </w:rPr>
        <w:t xml:space="preserve">программе обязательного</w:t>
      </w:r>
    </w:p>
    <w:p>
      <w:pPr>
        <w:pStyle w:val="0"/>
        <w:jc w:val="right"/>
      </w:pPr>
      <w:r>
        <w:rPr>
          <w:sz w:val="24"/>
        </w:rPr>
        <w:t xml:space="preserve">медицинского страхования</w:t>
      </w:r>
    </w:p>
    <w:p>
      <w:pPr>
        <w:pStyle w:val="0"/>
        <w:jc w:val="both"/>
      </w:pPr>
      <w:r>
        <w:rPr>
          <w:sz w:val="24"/>
        </w:rPr>
      </w:r>
    </w:p>
    <w:p>
      <w:pPr>
        <w:pStyle w:val="0"/>
        <w:jc w:val="center"/>
      </w:pPr>
      <w:r>
        <w:rPr>
          <w:sz w:val="24"/>
        </w:rPr>
        <w:t xml:space="preserve">Сведения</w:t>
      </w:r>
    </w:p>
    <w:p>
      <w:pPr>
        <w:pStyle w:val="0"/>
        <w:jc w:val="center"/>
      </w:pPr>
      <w:r>
        <w:rPr>
          <w:sz w:val="24"/>
        </w:rPr>
        <w:t xml:space="preserve">об адресах оказания медицинской помощи на территории</w:t>
      </w:r>
    </w:p>
    <w:p>
      <w:pPr>
        <w:pStyle w:val="0"/>
        <w:jc w:val="center"/>
      </w:pPr>
      <w:r>
        <w:rPr>
          <w:sz w:val="24"/>
        </w:rPr>
        <w:t xml:space="preserve">субъекта Российской Федерации, расположенных по данным</w:t>
      </w:r>
    </w:p>
    <w:p>
      <w:pPr>
        <w:pStyle w:val="0"/>
        <w:jc w:val="center"/>
      </w:pPr>
      <w:r>
        <w:rPr>
          <w:sz w:val="24"/>
        </w:rPr>
        <w:t xml:space="preserve">адресам обособленных структурных подразделениях медицинской</w:t>
      </w:r>
    </w:p>
    <w:p>
      <w:pPr>
        <w:pStyle w:val="0"/>
        <w:jc w:val="center"/>
      </w:pPr>
      <w:r>
        <w:rPr>
          <w:sz w:val="24"/>
        </w:rPr>
        <w:t xml:space="preserve">организации и (или) наименованиях структурных подразделений</w:t>
      </w:r>
    </w:p>
    <w:p>
      <w:pPr>
        <w:pStyle w:val="0"/>
        <w:jc w:val="center"/>
      </w:pPr>
      <w:r>
        <w:rPr>
          <w:sz w:val="24"/>
        </w:rPr>
        <w:t xml:space="preserve">медицинской организации, расположенных по данным</w:t>
      </w:r>
    </w:p>
    <w:p>
      <w:pPr>
        <w:pStyle w:val="0"/>
        <w:jc w:val="center"/>
      </w:pPr>
      <w:r>
        <w:rPr>
          <w:sz w:val="24"/>
        </w:rPr>
        <w:t xml:space="preserve">адресам (при наличии)</w:t>
      </w:r>
    </w:p>
    <w:p>
      <w:pPr>
        <w:pStyle w:val="0"/>
        <w:jc w:val="both"/>
      </w:pPr>
      <w:r>
        <w:rPr>
          <w:sz w:val="24"/>
        </w:rPr>
      </w:r>
    </w:p>
    <w:tbl>
      <w:tblPr>
        <w:tblInd w:w="0" w:type="dxa"/>
        <w:tblLayout w:type="fixed"/>
        <w:tblCellMar>
          <w:top w:w="102" w:type="dxa"/>
          <w:left w:w="62" w:type="dxa"/>
          <w:bottom w:w="102" w:type="dxa"/>
          <w:right w:w="62" w:type="dxa"/>
        </w:tblCellMar>
      </w:tblPr>
      <w:tblGrid>
        <w:gridCol w:w="2267"/>
        <w:gridCol w:w="1190"/>
        <w:gridCol w:w="340"/>
        <w:gridCol w:w="5272"/>
      </w:tblGrid>
      <w:tr>
        <w:tc>
          <w:tcPr>
            <w:tcW w:w="2267" w:type="dxa"/>
            <w:vAlign w:val="bottom"/>
            <w:tcBorders>
              <w:top w:val="nil"/>
              <w:left w:val="nil"/>
              <w:bottom w:val="nil"/>
              <w:right w:val="nil"/>
            </w:tcBorders>
          </w:tcPr>
          <w:p>
            <w:pPr>
              <w:pStyle w:val="0"/>
              <w:ind w:firstLine="283"/>
              <w:jc w:val="both"/>
            </w:pPr>
            <w:r>
              <w:rPr>
                <w:sz w:val="24"/>
              </w:rPr>
              <w:t xml:space="preserve">N уведомления</w:t>
            </w:r>
          </w:p>
        </w:tc>
        <w:tc>
          <w:tcPr>
            <w:tcW w:w="1190" w:type="dxa"/>
            <w:tcBorders>
              <w:top w:val="nil"/>
              <w:left w:val="nil"/>
              <w:bottom w:val="single" w:sz="4"/>
              <w:right w:val="nil"/>
            </w:tcBorders>
          </w:tcPr>
          <w:p>
            <w:pPr>
              <w:pStyle w:val="0"/>
            </w:pPr>
            <w:r>
              <w:rPr>
                <w:sz w:val="24"/>
              </w:rPr>
            </w:r>
          </w:p>
        </w:tc>
        <w:tc>
          <w:tcPr>
            <w:tcW w:w="340" w:type="dxa"/>
            <w:tcBorders>
              <w:top w:val="nil"/>
              <w:left w:val="nil"/>
              <w:bottom w:val="nil"/>
              <w:right w:val="nil"/>
            </w:tcBorders>
          </w:tcPr>
          <w:p>
            <w:pPr>
              <w:pStyle w:val="0"/>
            </w:pPr>
            <w:r>
              <w:rPr>
                <w:sz w:val="24"/>
              </w:rPr>
            </w:r>
          </w:p>
        </w:tc>
        <w:tc>
          <w:tcPr>
            <w:tcW w:w="5272" w:type="dxa"/>
            <w:tcBorders>
              <w:top w:val="nil"/>
              <w:left w:val="nil"/>
              <w:bottom w:val="single" w:sz="4"/>
              <w:right w:val="nil"/>
            </w:tcBorders>
          </w:tcPr>
          <w:p>
            <w:pPr>
              <w:pStyle w:val="0"/>
            </w:pPr>
            <w:r>
              <w:rPr>
                <w:sz w:val="24"/>
              </w:rPr>
            </w:r>
          </w:p>
        </w:tc>
      </w:tr>
      <w:tr>
        <w:tc>
          <w:tcPr>
            <w:gridSpan w:val="2"/>
            <w:tcW w:w="3457" w:type="dxa"/>
            <w:tcBorders>
              <w:top w:val="nil"/>
              <w:left w:val="nil"/>
              <w:bottom w:val="nil"/>
              <w:right w:val="nil"/>
            </w:tcBorders>
          </w:tcPr>
          <w:p>
            <w:pPr>
              <w:pStyle w:val="0"/>
            </w:pPr>
            <w:r>
              <w:rPr>
                <w:sz w:val="24"/>
              </w:rPr>
            </w:r>
          </w:p>
        </w:tc>
        <w:tc>
          <w:tcPr>
            <w:tcW w:w="340" w:type="dxa"/>
            <w:tcBorders>
              <w:top w:val="nil"/>
              <w:left w:val="nil"/>
              <w:bottom w:val="nil"/>
              <w:right w:val="nil"/>
            </w:tcBorders>
          </w:tcPr>
          <w:p>
            <w:pPr>
              <w:pStyle w:val="0"/>
            </w:pPr>
            <w:r>
              <w:rPr>
                <w:sz w:val="24"/>
              </w:rPr>
            </w:r>
          </w:p>
        </w:tc>
        <w:tc>
          <w:tcPr>
            <w:tcW w:w="5272" w:type="dxa"/>
            <w:tcBorders>
              <w:top w:val="single" w:sz="4"/>
              <w:left w:val="nil"/>
              <w:bottom w:val="nil"/>
              <w:right w:val="nil"/>
            </w:tcBorders>
          </w:tcPr>
          <w:p>
            <w:pPr>
              <w:pStyle w:val="0"/>
              <w:jc w:val="center"/>
            </w:pPr>
            <w:r>
              <w:rPr>
                <w:sz w:val="24"/>
              </w:rPr>
              <w:t xml:space="preserve">(наименование медицинской организации)</w:t>
            </w:r>
          </w:p>
        </w:tc>
      </w:tr>
    </w:tbl>
    <w:p>
      <w:pPr>
        <w:pStyle w:val="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566"/>
        <w:gridCol w:w="3968"/>
        <w:gridCol w:w="4535"/>
      </w:tblGrid>
      <w:tr>
        <w:tc>
          <w:tcPr>
            <w:tcW w:w="566" w:type="dxa"/>
          </w:tcPr>
          <w:p>
            <w:pPr>
              <w:pStyle w:val="0"/>
              <w:jc w:val="center"/>
            </w:pPr>
            <w:r>
              <w:rPr>
                <w:sz w:val="24"/>
              </w:rPr>
              <w:t xml:space="preserve">N пп</w:t>
            </w:r>
          </w:p>
        </w:tc>
        <w:tc>
          <w:tcPr>
            <w:tcW w:w="3968" w:type="dxa"/>
          </w:tcPr>
          <w:p>
            <w:pPr>
              <w:pStyle w:val="0"/>
              <w:jc w:val="center"/>
            </w:pPr>
            <w:r>
              <w:rPr>
                <w:sz w:val="24"/>
              </w:rPr>
              <w:t xml:space="preserve">Адреса оказания медицинской помощи</w:t>
            </w:r>
          </w:p>
        </w:tc>
        <w:tc>
          <w:tcPr>
            <w:tcW w:w="4535" w:type="dxa"/>
          </w:tcPr>
          <w:p>
            <w:pPr>
              <w:pStyle w:val="0"/>
              <w:jc w:val="center"/>
            </w:pPr>
            <w:r>
              <w:rPr>
                <w:sz w:val="24"/>
              </w:rPr>
              <w:t xml:space="preserve">Наименование структурного подразделения или обособленного структурного подразделения</w:t>
            </w:r>
          </w:p>
        </w:tc>
      </w:tr>
      <w:tr>
        <w:tc>
          <w:tcPr>
            <w:tcW w:w="566" w:type="dxa"/>
          </w:tcPr>
          <w:p>
            <w:pPr>
              <w:pStyle w:val="0"/>
            </w:pPr>
            <w:r>
              <w:rPr>
                <w:sz w:val="24"/>
              </w:rPr>
            </w:r>
          </w:p>
        </w:tc>
        <w:tc>
          <w:tcPr>
            <w:tcW w:w="3968" w:type="dxa"/>
          </w:tcPr>
          <w:p>
            <w:pPr>
              <w:pStyle w:val="0"/>
            </w:pPr>
            <w:r>
              <w:rPr>
                <w:sz w:val="24"/>
              </w:rPr>
            </w:r>
          </w:p>
        </w:tc>
        <w:tc>
          <w:tcPr>
            <w:tcW w:w="4535" w:type="dxa"/>
          </w:tcPr>
          <w:p>
            <w:pPr>
              <w:pStyle w:val="0"/>
            </w:pPr>
            <w:r>
              <w:rPr>
                <w:sz w:val="24"/>
              </w:rPr>
            </w:r>
          </w:p>
        </w:tc>
      </w:tr>
    </w:tbl>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2"/>
        <w:jc w:val="right"/>
      </w:pPr>
      <w:r>
        <w:rPr>
          <w:sz w:val="24"/>
        </w:rPr>
        <w:t xml:space="preserve">Приложение N 5</w:t>
      </w:r>
    </w:p>
    <w:p>
      <w:pPr>
        <w:pStyle w:val="0"/>
        <w:jc w:val="right"/>
      </w:pPr>
      <w:r>
        <w:rPr>
          <w:sz w:val="24"/>
        </w:rPr>
        <w:t xml:space="preserve">к уведомлению о включении медицинской</w:t>
      </w:r>
    </w:p>
    <w:p>
      <w:pPr>
        <w:pStyle w:val="0"/>
        <w:jc w:val="right"/>
      </w:pPr>
      <w:r>
        <w:rPr>
          <w:sz w:val="24"/>
        </w:rPr>
        <w:t xml:space="preserve">организации в реестр медицинских</w:t>
      </w:r>
    </w:p>
    <w:p>
      <w:pPr>
        <w:pStyle w:val="0"/>
        <w:jc w:val="right"/>
      </w:pPr>
      <w:r>
        <w:rPr>
          <w:sz w:val="24"/>
        </w:rPr>
        <w:t xml:space="preserve">организаций, осуществляющих деятельность</w:t>
      </w:r>
    </w:p>
    <w:p>
      <w:pPr>
        <w:pStyle w:val="0"/>
        <w:jc w:val="right"/>
      </w:pPr>
      <w:r>
        <w:rPr>
          <w:sz w:val="24"/>
        </w:rPr>
        <w:t xml:space="preserve">в сфере обязательного медицинского</w:t>
      </w:r>
    </w:p>
    <w:p>
      <w:pPr>
        <w:pStyle w:val="0"/>
        <w:jc w:val="right"/>
      </w:pPr>
      <w:r>
        <w:rPr>
          <w:sz w:val="24"/>
        </w:rPr>
        <w:t xml:space="preserve">страхования по территориальной</w:t>
      </w:r>
    </w:p>
    <w:p>
      <w:pPr>
        <w:pStyle w:val="0"/>
        <w:jc w:val="right"/>
      </w:pPr>
      <w:r>
        <w:rPr>
          <w:sz w:val="24"/>
        </w:rPr>
        <w:t xml:space="preserve">программе обязательного</w:t>
      </w:r>
    </w:p>
    <w:p>
      <w:pPr>
        <w:pStyle w:val="0"/>
        <w:jc w:val="right"/>
      </w:pPr>
      <w:r>
        <w:rPr>
          <w:sz w:val="24"/>
        </w:rPr>
        <w:t xml:space="preserve">медицинского страхования</w:t>
      </w:r>
    </w:p>
    <w:p>
      <w:pPr>
        <w:pStyle w:val="0"/>
        <w:jc w:val="both"/>
      </w:pPr>
      <w:r>
        <w:rPr>
          <w:sz w:val="24"/>
        </w:rPr>
      </w:r>
    </w:p>
    <w:p>
      <w:pPr>
        <w:pStyle w:val="0"/>
        <w:jc w:val="center"/>
      </w:pPr>
      <w:r>
        <w:rPr>
          <w:sz w:val="24"/>
        </w:rPr>
        <w:t xml:space="preserve">Мощность</w:t>
      </w:r>
    </w:p>
    <w:p>
      <w:pPr>
        <w:pStyle w:val="0"/>
        <w:jc w:val="center"/>
      </w:pPr>
      <w:r>
        <w:rPr>
          <w:sz w:val="24"/>
        </w:rPr>
        <w:t xml:space="preserve">коечного фонда медицинской организации и количество врачей,</w:t>
      </w:r>
    </w:p>
    <w:p>
      <w:pPr>
        <w:pStyle w:val="0"/>
        <w:jc w:val="center"/>
      </w:pPr>
      <w:r>
        <w:rPr>
          <w:sz w:val="24"/>
        </w:rPr>
        <w:t xml:space="preserve">участвующих в оказании первичной медико-санитарной помощи</w:t>
      </w:r>
    </w:p>
    <w:p>
      <w:pPr>
        <w:pStyle w:val="0"/>
        <w:jc w:val="center"/>
      </w:pPr>
      <w:r>
        <w:rPr>
          <w:sz w:val="24"/>
        </w:rPr>
        <w:t xml:space="preserve">в разрезе профилей и адресов оказания медицинской помощи</w:t>
      </w:r>
    </w:p>
    <w:p>
      <w:pPr>
        <w:pStyle w:val="0"/>
        <w:jc w:val="both"/>
      </w:pPr>
      <w:r>
        <w:rPr>
          <w:sz w:val="24"/>
        </w:rPr>
      </w:r>
    </w:p>
    <w:tbl>
      <w:tblPr>
        <w:tblInd w:w="0" w:type="dxa"/>
        <w:tblLayout w:type="fixed"/>
        <w:tblCellMar>
          <w:top w:w="102" w:type="dxa"/>
          <w:left w:w="62" w:type="dxa"/>
          <w:bottom w:w="102" w:type="dxa"/>
          <w:right w:w="62" w:type="dxa"/>
        </w:tblCellMar>
      </w:tblPr>
      <w:tblGrid>
        <w:gridCol w:w="2267"/>
        <w:gridCol w:w="1190"/>
        <w:gridCol w:w="340"/>
        <w:gridCol w:w="5272"/>
      </w:tblGrid>
      <w:tr>
        <w:tc>
          <w:tcPr>
            <w:tcW w:w="2267" w:type="dxa"/>
            <w:vAlign w:val="bottom"/>
            <w:tcBorders>
              <w:top w:val="nil"/>
              <w:left w:val="nil"/>
              <w:bottom w:val="nil"/>
              <w:right w:val="nil"/>
            </w:tcBorders>
          </w:tcPr>
          <w:p>
            <w:pPr>
              <w:pStyle w:val="0"/>
              <w:ind w:firstLine="283"/>
              <w:jc w:val="both"/>
            </w:pPr>
            <w:r>
              <w:rPr>
                <w:sz w:val="24"/>
              </w:rPr>
              <w:t xml:space="preserve">N уведомления</w:t>
            </w:r>
          </w:p>
        </w:tc>
        <w:tc>
          <w:tcPr>
            <w:tcW w:w="1190" w:type="dxa"/>
            <w:tcBorders>
              <w:top w:val="nil"/>
              <w:left w:val="nil"/>
              <w:bottom w:val="single" w:sz="4"/>
              <w:right w:val="nil"/>
            </w:tcBorders>
          </w:tcPr>
          <w:p>
            <w:pPr>
              <w:pStyle w:val="0"/>
            </w:pPr>
            <w:r>
              <w:rPr>
                <w:sz w:val="24"/>
              </w:rPr>
            </w:r>
          </w:p>
        </w:tc>
        <w:tc>
          <w:tcPr>
            <w:tcW w:w="340" w:type="dxa"/>
            <w:tcBorders>
              <w:top w:val="nil"/>
              <w:left w:val="nil"/>
              <w:bottom w:val="nil"/>
              <w:right w:val="nil"/>
            </w:tcBorders>
          </w:tcPr>
          <w:p>
            <w:pPr>
              <w:pStyle w:val="0"/>
            </w:pPr>
            <w:r>
              <w:rPr>
                <w:sz w:val="24"/>
              </w:rPr>
            </w:r>
          </w:p>
        </w:tc>
        <w:tc>
          <w:tcPr>
            <w:tcW w:w="5272" w:type="dxa"/>
            <w:tcBorders>
              <w:top w:val="nil"/>
              <w:left w:val="nil"/>
              <w:bottom w:val="single" w:sz="4"/>
              <w:right w:val="nil"/>
            </w:tcBorders>
          </w:tcPr>
          <w:p>
            <w:pPr>
              <w:pStyle w:val="0"/>
            </w:pPr>
            <w:r>
              <w:rPr>
                <w:sz w:val="24"/>
              </w:rPr>
            </w:r>
          </w:p>
        </w:tc>
      </w:tr>
      <w:tr>
        <w:tc>
          <w:tcPr>
            <w:gridSpan w:val="2"/>
            <w:tcW w:w="3457" w:type="dxa"/>
            <w:tcBorders>
              <w:top w:val="nil"/>
              <w:left w:val="nil"/>
              <w:bottom w:val="nil"/>
              <w:right w:val="nil"/>
            </w:tcBorders>
          </w:tcPr>
          <w:p>
            <w:pPr>
              <w:pStyle w:val="0"/>
            </w:pPr>
            <w:r>
              <w:rPr>
                <w:sz w:val="24"/>
              </w:rPr>
            </w:r>
          </w:p>
        </w:tc>
        <w:tc>
          <w:tcPr>
            <w:tcW w:w="340" w:type="dxa"/>
            <w:tcBorders>
              <w:top w:val="nil"/>
              <w:left w:val="nil"/>
              <w:bottom w:val="nil"/>
              <w:right w:val="nil"/>
            </w:tcBorders>
          </w:tcPr>
          <w:p>
            <w:pPr>
              <w:pStyle w:val="0"/>
            </w:pPr>
            <w:r>
              <w:rPr>
                <w:sz w:val="24"/>
              </w:rPr>
            </w:r>
          </w:p>
        </w:tc>
        <w:tc>
          <w:tcPr>
            <w:tcW w:w="5272" w:type="dxa"/>
            <w:tcBorders>
              <w:top w:val="single" w:sz="4"/>
              <w:left w:val="nil"/>
              <w:bottom w:val="nil"/>
              <w:right w:val="nil"/>
            </w:tcBorders>
          </w:tcPr>
          <w:p>
            <w:pPr>
              <w:pStyle w:val="0"/>
              <w:jc w:val="center"/>
            </w:pPr>
            <w:r>
              <w:rPr>
                <w:sz w:val="24"/>
              </w:rPr>
              <w:t xml:space="preserve">(наименование медицинской организации)</w:t>
            </w:r>
          </w:p>
        </w:tc>
      </w:tr>
    </w:tbl>
    <w:p>
      <w:pPr>
        <w:pStyle w:val="0"/>
        <w:jc w:val="both"/>
      </w:pPr>
      <w:r>
        <w:rPr>
          <w:sz w:val="24"/>
        </w:rPr>
      </w:r>
    </w:p>
    <w:tbl>
      <w:tblPr>
        <w:tblInd w:w="0" w:type="dxa"/>
        <w:tblLayout w:type="fixed"/>
        <w:tblBorders>
          <w:left w:val="single" w:sz="4"/>
          <w:bottom w:val="single" w:sz="4"/>
          <w:right w:val="single" w:sz="4"/>
          <w:insideV w:val="single" w:sz="4"/>
          <w:insideH w:val="single" w:sz="4"/>
        </w:tblBorders>
        <w:tblCellMar>
          <w:top w:w="102" w:type="dxa"/>
          <w:left w:w="62" w:type="dxa"/>
          <w:bottom w:w="102" w:type="dxa"/>
          <w:right w:w="62" w:type="dxa"/>
        </w:tblCellMar>
      </w:tblPr>
      <w:tblGrid>
        <w:gridCol w:w="567"/>
        <w:gridCol w:w="1474"/>
        <w:gridCol w:w="1587"/>
        <w:gridCol w:w="907"/>
        <w:gridCol w:w="1814"/>
        <w:gridCol w:w="964"/>
        <w:gridCol w:w="1758"/>
      </w:tblGrid>
      <w:tr>
        <w:tblPrEx>
          <w:tblBorders>
            <w:left w:val="nil"/>
            <w:right w:val="nil"/>
          </w:tblBorders>
        </w:tblPrEx>
        <w:tc>
          <w:tcPr>
            <w:gridSpan w:val="7"/>
            <w:tcW w:w="9071" w:type="dxa"/>
            <w:tcBorders>
              <w:top w:val="nil"/>
              <w:left w:val="nil"/>
              <w:right w:val="nil"/>
            </w:tcBorders>
          </w:tcPr>
          <w:p>
            <w:pPr>
              <w:pStyle w:val="0"/>
              <w:outlineLvl w:val="3"/>
              <w:ind w:firstLine="283"/>
              <w:jc w:val="both"/>
            </w:pPr>
            <w:r>
              <w:rPr>
                <w:sz w:val="24"/>
              </w:rPr>
              <w:t xml:space="preserve">Мощность специализированной медицинской помощи. Стационарно</w:t>
            </w:r>
          </w:p>
        </w:tc>
      </w:tr>
      <w:tr>
        <w:tc>
          <w:tcPr>
            <w:tcW w:w="567" w:type="dxa"/>
            <w:vMerge w:val="restart"/>
          </w:tcPr>
          <w:p>
            <w:pPr>
              <w:pStyle w:val="0"/>
              <w:jc w:val="center"/>
            </w:pPr>
            <w:r>
              <w:rPr>
                <w:sz w:val="24"/>
              </w:rPr>
              <w:t xml:space="preserve">N пп</w:t>
            </w:r>
          </w:p>
        </w:tc>
        <w:tc>
          <w:tcPr>
            <w:tcW w:w="1474" w:type="dxa"/>
            <w:vMerge w:val="restart"/>
          </w:tcPr>
          <w:p>
            <w:pPr>
              <w:pStyle w:val="0"/>
              <w:jc w:val="center"/>
            </w:pPr>
            <w:r>
              <w:rPr>
                <w:sz w:val="24"/>
              </w:rPr>
              <w:t xml:space="preserve">Адрес оказания медицинской помощи</w:t>
            </w:r>
          </w:p>
        </w:tc>
        <w:tc>
          <w:tcPr>
            <w:tcW w:w="1587" w:type="dxa"/>
            <w:vMerge w:val="restart"/>
          </w:tcPr>
          <w:p>
            <w:pPr>
              <w:pStyle w:val="0"/>
              <w:jc w:val="center"/>
            </w:pPr>
            <w:r>
              <w:rPr>
                <w:sz w:val="24"/>
              </w:rPr>
              <w:t xml:space="preserve">Профиль медицинской помощи</w:t>
            </w:r>
          </w:p>
        </w:tc>
        <w:tc>
          <w:tcPr>
            <w:tcW w:w="907" w:type="dxa"/>
            <w:vMerge w:val="restart"/>
          </w:tcPr>
          <w:p>
            <w:pPr>
              <w:pStyle w:val="0"/>
              <w:jc w:val="center"/>
            </w:pPr>
            <w:r>
              <w:rPr>
                <w:sz w:val="24"/>
              </w:rPr>
              <w:t xml:space="preserve">Число коек</w:t>
            </w:r>
          </w:p>
        </w:tc>
        <w:tc>
          <w:tcPr>
            <w:tcW w:w="1814" w:type="dxa"/>
            <w:vMerge w:val="restart"/>
          </w:tcPr>
          <w:p>
            <w:pPr>
              <w:pStyle w:val="0"/>
              <w:jc w:val="center"/>
            </w:pPr>
            <w:r>
              <w:rPr>
                <w:sz w:val="24"/>
              </w:rPr>
              <w:t xml:space="preserve">Среднегодовая занятость койки</w:t>
            </w:r>
          </w:p>
        </w:tc>
        <w:tc>
          <w:tcPr>
            <w:gridSpan w:val="2"/>
            <w:tcW w:w="2722" w:type="dxa"/>
          </w:tcPr>
          <w:p>
            <w:pPr>
              <w:pStyle w:val="0"/>
              <w:jc w:val="center"/>
            </w:pPr>
            <w:r>
              <w:rPr>
                <w:sz w:val="24"/>
              </w:rPr>
              <w:t xml:space="preserve">В том числе для реализации территориальной программы</w:t>
            </w:r>
          </w:p>
        </w:tc>
      </w:tr>
      <w:tr>
        <w:tc>
          <w:tcPr>
            <w:vMerge w:val="continue"/>
          </w:tcPr>
          <w:p/>
        </w:tc>
        <w:tc>
          <w:tcPr>
            <w:vMerge w:val="continue"/>
          </w:tcPr>
          <w:p/>
        </w:tc>
        <w:tc>
          <w:tcPr>
            <w:vMerge w:val="continue"/>
          </w:tcPr>
          <w:p/>
        </w:tc>
        <w:tc>
          <w:tcPr>
            <w:vMerge w:val="continue"/>
          </w:tcPr>
          <w:p/>
        </w:tc>
        <w:tc>
          <w:tcPr>
            <w:vMerge w:val="continue"/>
          </w:tcPr>
          <w:p/>
        </w:tc>
        <w:tc>
          <w:tcPr>
            <w:tcW w:w="964" w:type="dxa"/>
          </w:tcPr>
          <w:p>
            <w:pPr>
              <w:pStyle w:val="0"/>
              <w:jc w:val="center"/>
            </w:pPr>
            <w:r>
              <w:rPr>
                <w:sz w:val="24"/>
              </w:rPr>
              <w:t xml:space="preserve">Число коек</w:t>
            </w:r>
          </w:p>
        </w:tc>
        <w:tc>
          <w:tcPr>
            <w:tcW w:w="1758" w:type="dxa"/>
          </w:tcPr>
          <w:p>
            <w:pPr>
              <w:pStyle w:val="0"/>
              <w:jc w:val="center"/>
            </w:pPr>
            <w:r>
              <w:rPr>
                <w:sz w:val="24"/>
              </w:rPr>
              <w:t xml:space="preserve">Среднегодовая занятость койки</w:t>
            </w:r>
          </w:p>
        </w:tc>
      </w:tr>
      <w:tr>
        <w:tc>
          <w:tcPr>
            <w:tcW w:w="567" w:type="dxa"/>
          </w:tcPr>
          <w:p>
            <w:pPr>
              <w:pStyle w:val="0"/>
            </w:pPr>
            <w:r>
              <w:rPr>
                <w:sz w:val="24"/>
              </w:rPr>
            </w:r>
          </w:p>
        </w:tc>
        <w:tc>
          <w:tcPr>
            <w:tcW w:w="1474" w:type="dxa"/>
          </w:tcPr>
          <w:p>
            <w:pPr>
              <w:pStyle w:val="0"/>
            </w:pPr>
            <w:r>
              <w:rPr>
                <w:sz w:val="24"/>
              </w:rPr>
            </w:r>
          </w:p>
        </w:tc>
        <w:tc>
          <w:tcPr>
            <w:tcW w:w="1587" w:type="dxa"/>
          </w:tcPr>
          <w:p>
            <w:pPr>
              <w:pStyle w:val="0"/>
            </w:pPr>
            <w:r>
              <w:rPr>
                <w:sz w:val="24"/>
              </w:rPr>
            </w:r>
          </w:p>
        </w:tc>
        <w:tc>
          <w:tcPr>
            <w:tcW w:w="907" w:type="dxa"/>
          </w:tcPr>
          <w:p>
            <w:pPr>
              <w:pStyle w:val="0"/>
            </w:pPr>
            <w:r>
              <w:rPr>
                <w:sz w:val="24"/>
              </w:rPr>
            </w:r>
          </w:p>
        </w:tc>
        <w:tc>
          <w:tcPr>
            <w:tcW w:w="1814" w:type="dxa"/>
          </w:tcPr>
          <w:p>
            <w:pPr>
              <w:pStyle w:val="0"/>
            </w:pPr>
            <w:r>
              <w:rPr>
                <w:sz w:val="24"/>
              </w:rPr>
            </w:r>
          </w:p>
        </w:tc>
        <w:tc>
          <w:tcPr>
            <w:tcW w:w="964" w:type="dxa"/>
          </w:tcPr>
          <w:p>
            <w:pPr>
              <w:pStyle w:val="0"/>
            </w:pPr>
            <w:r>
              <w:rPr>
                <w:sz w:val="24"/>
              </w:rPr>
            </w:r>
          </w:p>
        </w:tc>
        <w:tc>
          <w:tcPr>
            <w:tcW w:w="1758" w:type="dxa"/>
          </w:tcPr>
          <w:p>
            <w:pPr>
              <w:pStyle w:val="0"/>
            </w:pPr>
            <w:r>
              <w:rPr>
                <w:sz w:val="24"/>
              </w:rPr>
            </w:r>
          </w:p>
        </w:tc>
      </w:tr>
    </w:tbl>
    <w:p>
      <w:pPr>
        <w:pStyle w:val="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567"/>
        <w:gridCol w:w="1474"/>
        <w:gridCol w:w="1587"/>
        <w:gridCol w:w="907"/>
        <w:gridCol w:w="1814"/>
        <w:gridCol w:w="964"/>
        <w:gridCol w:w="1758"/>
      </w:tblGrid>
      <w:tr>
        <w:tblPrEx>
          <w:tblBorders>
            <w:left w:val="nil"/>
            <w:right w:val="nil"/>
          </w:tblBorders>
        </w:tblPrEx>
        <w:tc>
          <w:tcPr>
            <w:gridSpan w:val="7"/>
            <w:tcW w:w="9071" w:type="dxa"/>
            <w:tcBorders>
              <w:left w:val="nil"/>
              <w:right w:val="nil"/>
            </w:tcBorders>
          </w:tcPr>
          <w:p>
            <w:pPr>
              <w:pStyle w:val="0"/>
              <w:outlineLvl w:val="3"/>
              <w:ind w:firstLine="283"/>
              <w:jc w:val="both"/>
            </w:pPr>
            <w:r>
              <w:rPr>
                <w:sz w:val="24"/>
              </w:rPr>
              <w:t xml:space="preserve">Мощность специализированной медицинской помощи. Дневной стационар</w:t>
            </w:r>
          </w:p>
        </w:tc>
      </w:tr>
      <w:tr>
        <w:tc>
          <w:tcPr>
            <w:tcW w:w="567" w:type="dxa"/>
            <w:vMerge w:val="restart"/>
          </w:tcPr>
          <w:p>
            <w:pPr>
              <w:pStyle w:val="0"/>
              <w:jc w:val="center"/>
            </w:pPr>
            <w:r>
              <w:rPr>
                <w:sz w:val="24"/>
              </w:rPr>
              <w:t xml:space="preserve">N п/п</w:t>
            </w:r>
          </w:p>
        </w:tc>
        <w:tc>
          <w:tcPr>
            <w:tcW w:w="1474" w:type="dxa"/>
            <w:vMerge w:val="restart"/>
          </w:tcPr>
          <w:p>
            <w:pPr>
              <w:pStyle w:val="0"/>
              <w:jc w:val="center"/>
            </w:pPr>
            <w:r>
              <w:rPr>
                <w:sz w:val="24"/>
              </w:rPr>
              <w:t xml:space="preserve">Адрес оказания медицинской помощи</w:t>
            </w:r>
          </w:p>
        </w:tc>
        <w:tc>
          <w:tcPr>
            <w:tcW w:w="1587" w:type="dxa"/>
            <w:vMerge w:val="restart"/>
          </w:tcPr>
          <w:p>
            <w:pPr>
              <w:pStyle w:val="0"/>
              <w:jc w:val="center"/>
            </w:pPr>
            <w:r>
              <w:rPr>
                <w:sz w:val="24"/>
              </w:rPr>
              <w:t xml:space="preserve">Профиль медицинской помощи</w:t>
            </w:r>
          </w:p>
        </w:tc>
        <w:tc>
          <w:tcPr>
            <w:tcW w:w="907" w:type="dxa"/>
            <w:vMerge w:val="restart"/>
          </w:tcPr>
          <w:p>
            <w:pPr>
              <w:pStyle w:val="0"/>
              <w:jc w:val="center"/>
            </w:pPr>
            <w:r>
              <w:rPr>
                <w:sz w:val="24"/>
              </w:rPr>
              <w:t xml:space="preserve">Число коек</w:t>
            </w:r>
          </w:p>
        </w:tc>
        <w:tc>
          <w:tcPr>
            <w:tcW w:w="1814" w:type="dxa"/>
            <w:vMerge w:val="restart"/>
          </w:tcPr>
          <w:p>
            <w:pPr>
              <w:pStyle w:val="0"/>
              <w:jc w:val="center"/>
            </w:pPr>
            <w:r>
              <w:rPr>
                <w:sz w:val="24"/>
              </w:rPr>
              <w:t xml:space="preserve">Среднегодовая занятость койки</w:t>
            </w:r>
          </w:p>
        </w:tc>
        <w:tc>
          <w:tcPr>
            <w:gridSpan w:val="2"/>
            <w:tcW w:w="2722" w:type="dxa"/>
          </w:tcPr>
          <w:p>
            <w:pPr>
              <w:pStyle w:val="0"/>
              <w:jc w:val="center"/>
            </w:pPr>
            <w:r>
              <w:rPr>
                <w:sz w:val="24"/>
              </w:rPr>
              <w:t xml:space="preserve">В том числе для реализации территориальной программы</w:t>
            </w:r>
          </w:p>
        </w:tc>
      </w:tr>
      <w:tr>
        <w:tc>
          <w:tcPr>
            <w:vMerge w:val="continue"/>
          </w:tcPr>
          <w:p/>
        </w:tc>
        <w:tc>
          <w:tcPr>
            <w:vMerge w:val="continue"/>
          </w:tcPr>
          <w:p/>
        </w:tc>
        <w:tc>
          <w:tcPr>
            <w:vMerge w:val="continue"/>
          </w:tcPr>
          <w:p/>
        </w:tc>
        <w:tc>
          <w:tcPr>
            <w:vMerge w:val="continue"/>
          </w:tcPr>
          <w:p/>
        </w:tc>
        <w:tc>
          <w:tcPr>
            <w:vMerge w:val="continue"/>
          </w:tcPr>
          <w:p/>
        </w:tc>
        <w:tc>
          <w:tcPr>
            <w:tcW w:w="964" w:type="dxa"/>
          </w:tcPr>
          <w:p>
            <w:pPr>
              <w:pStyle w:val="0"/>
              <w:jc w:val="center"/>
            </w:pPr>
            <w:r>
              <w:rPr>
                <w:sz w:val="24"/>
              </w:rPr>
              <w:t xml:space="preserve">Число коек</w:t>
            </w:r>
          </w:p>
        </w:tc>
        <w:tc>
          <w:tcPr>
            <w:tcW w:w="1758" w:type="dxa"/>
          </w:tcPr>
          <w:p>
            <w:pPr>
              <w:pStyle w:val="0"/>
              <w:jc w:val="center"/>
            </w:pPr>
            <w:r>
              <w:rPr>
                <w:sz w:val="24"/>
              </w:rPr>
              <w:t xml:space="preserve">Среднегодовая занятость койки</w:t>
            </w:r>
          </w:p>
        </w:tc>
      </w:tr>
      <w:tr>
        <w:tc>
          <w:tcPr>
            <w:tcW w:w="567" w:type="dxa"/>
          </w:tcPr>
          <w:p>
            <w:pPr>
              <w:pStyle w:val="0"/>
            </w:pPr>
            <w:r>
              <w:rPr>
                <w:sz w:val="24"/>
              </w:rPr>
            </w:r>
          </w:p>
        </w:tc>
        <w:tc>
          <w:tcPr>
            <w:tcW w:w="1474" w:type="dxa"/>
          </w:tcPr>
          <w:p>
            <w:pPr>
              <w:pStyle w:val="0"/>
            </w:pPr>
            <w:r>
              <w:rPr>
                <w:sz w:val="24"/>
              </w:rPr>
            </w:r>
          </w:p>
        </w:tc>
        <w:tc>
          <w:tcPr>
            <w:tcW w:w="1587" w:type="dxa"/>
          </w:tcPr>
          <w:p>
            <w:pPr>
              <w:pStyle w:val="0"/>
            </w:pPr>
            <w:r>
              <w:rPr>
                <w:sz w:val="24"/>
              </w:rPr>
            </w:r>
          </w:p>
        </w:tc>
        <w:tc>
          <w:tcPr>
            <w:tcW w:w="907" w:type="dxa"/>
          </w:tcPr>
          <w:p>
            <w:pPr>
              <w:pStyle w:val="0"/>
            </w:pPr>
            <w:r>
              <w:rPr>
                <w:sz w:val="24"/>
              </w:rPr>
            </w:r>
          </w:p>
        </w:tc>
        <w:tc>
          <w:tcPr>
            <w:tcW w:w="1814" w:type="dxa"/>
          </w:tcPr>
          <w:p>
            <w:pPr>
              <w:pStyle w:val="0"/>
            </w:pPr>
            <w:r>
              <w:rPr>
                <w:sz w:val="24"/>
              </w:rPr>
            </w:r>
          </w:p>
        </w:tc>
        <w:tc>
          <w:tcPr>
            <w:tcW w:w="964" w:type="dxa"/>
          </w:tcPr>
          <w:p>
            <w:pPr>
              <w:pStyle w:val="0"/>
            </w:pPr>
            <w:r>
              <w:rPr>
                <w:sz w:val="24"/>
              </w:rPr>
            </w:r>
          </w:p>
        </w:tc>
        <w:tc>
          <w:tcPr>
            <w:tcW w:w="1758" w:type="dxa"/>
          </w:tcPr>
          <w:p>
            <w:pPr>
              <w:pStyle w:val="0"/>
            </w:pPr>
            <w:r>
              <w:rPr>
                <w:sz w:val="24"/>
              </w:rPr>
            </w:r>
          </w:p>
        </w:tc>
      </w:tr>
    </w:tbl>
    <w:p>
      <w:pPr>
        <w:pStyle w:val="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566"/>
        <w:gridCol w:w="1304"/>
        <w:gridCol w:w="1020"/>
        <w:gridCol w:w="1133"/>
        <w:gridCol w:w="907"/>
        <w:gridCol w:w="964"/>
        <w:gridCol w:w="794"/>
        <w:gridCol w:w="794"/>
        <w:gridCol w:w="794"/>
        <w:gridCol w:w="783"/>
      </w:tblGrid>
      <w:tr>
        <w:tblPrEx>
          <w:tblBorders>
            <w:left w:val="nil"/>
            <w:right w:val="nil"/>
          </w:tblBorders>
        </w:tblPrEx>
        <w:tc>
          <w:tcPr>
            <w:gridSpan w:val="10"/>
            <w:tcW w:w="9059" w:type="dxa"/>
            <w:tcBorders>
              <w:left w:val="nil"/>
              <w:right w:val="nil"/>
            </w:tcBorders>
          </w:tcPr>
          <w:p>
            <w:pPr>
              <w:pStyle w:val="0"/>
              <w:outlineLvl w:val="3"/>
              <w:ind w:firstLine="283"/>
              <w:jc w:val="both"/>
            </w:pPr>
            <w:r>
              <w:rPr>
                <w:sz w:val="24"/>
              </w:rPr>
              <w:t xml:space="preserve">Мощность первичной медико-санитарной помощи. Амбулаторно</w:t>
            </w:r>
          </w:p>
        </w:tc>
      </w:tr>
      <w:tr>
        <w:tc>
          <w:tcPr>
            <w:tcW w:w="566" w:type="dxa"/>
          </w:tcPr>
          <w:p>
            <w:pPr>
              <w:pStyle w:val="0"/>
              <w:jc w:val="center"/>
            </w:pPr>
            <w:r>
              <w:rPr>
                <w:sz w:val="24"/>
              </w:rPr>
              <w:t xml:space="preserve">N пп</w:t>
            </w:r>
          </w:p>
        </w:tc>
        <w:tc>
          <w:tcPr>
            <w:tcW w:w="1304" w:type="dxa"/>
          </w:tcPr>
          <w:p>
            <w:pPr>
              <w:pStyle w:val="0"/>
              <w:jc w:val="center"/>
            </w:pPr>
            <w:r>
              <w:rPr>
                <w:sz w:val="24"/>
              </w:rPr>
              <w:t xml:space="preserve">Адрес оказания медицинской помощи</w:t>
            </w:r>
          </w:p>
        </w:tc>
        <w:tc>
          <w:tcPr>
            <w:tcW w:w="1020" w:type="dxa"/>
          </w:tcPr>
          <w:p>
            <w:pPr>
              <w:pStyle w:val="0"/>
              <w:jc w:val="center"/>
            </w:pPr>
            <w:r>
              <w:rPr>
                <w:sz w:val="24"/>
              </w:rPr>
              <w:t xml:space="preserve">Код медицинской специальности</w:t>
            </w:r>
          </w:p>
        </w:tc>
        <w:tc>
          <w:tcPr>
            <w:tcW w:w="1133" w:type="dxa"/>
          </w:tcPr>
          <w:p>
            <w:pPr>
              <w:pStyle w:val="0"/>
              <w:jc w:val="center"/>
            </w:pPr>
            <w:r>
              <w:rPr>
                <w:sz w:val="24"/>
              </w:rPr>
              <w:t xml:space="preserve">Наименование медицинской специальности</w:t>
            </w:r>
          </w:p>
        </w:tc>
        <w:tc>
          <w:tcPr>
            <w:tcW w:w="907" w:type="dxa"/>
          </w:tcPr>
          <w:p>
            <w:pPr>
              <w:pStyle w:val="0"/>
              <w:jc w:val="center"/>
            </w:pPr>
            <w:r>
              <w:rPr>
                <w:sz w:val="24"/>
              </w:rPr>
              <w:t xml:space="preserve">Код должности</w:t>
            </w:r>
          </w:p>
        </w:tc>
        <w:tc>
          <w:tcPr>
            <w:tcW w:w="964" w:type="dxa"/>
          </w:tcPr>
          <w:p>
            <w:pPr>
              <w:pStyle w:val="0"/>
              <w:jc w:val="center"/>
            </w:pPr>
            <w:r>
              <w:rPr>
                <w:sz w:val="24"/>
              </w:rPr>
              <w:t xml:space="preserve">Наименование должности</w:t>
            </w:r>
          </w:p>
        </w:tc>
        <w:tc>
          <w:tcPr>
            <w:tcW w:w="794" w:type="dxa"/>
          </w:tcPr>
          <w:p>
            <w:pPr>
              <w:pStyle w:val="0"/>
              <w:jc w:val="center"/>
            </w:pPr>
            <w:r>
              <w:rPr>
                <w:sz w:val="24"/>
              </w:rPr>
              <w:t xml:space="preserve">Количество врачей</w:t>
            </w:r>
          </w:p>
        </w:tc>
        <w:tc>
          <w:tcPr>
            <w:tcW w:w="794" w:type="dxa"/>
          </w:tcPr>
          <w:p>
            <w:pPr>
              <w:pStyle w:val="0"/>
              <w:jc w:val="center"/>
            </w:pPr>
            <w:r>
              <w:rPr>
                <w:sz w:val="24"/>
              </w:rPr>
              <w:t xml:space="preserve">Количество занятых ставок</w:t>
            </w:r>
          </w:p>
        </w:tc>
        <w:tc>
          <w:tcPr>
            <w:tcW w:w="794" w:type="dxa"/>
          </w:tcPr>
          <w:p>
            <w:pPr>
              <w:pStyle w:val="0"/>
              <w:jc w:val="center"/>
            </w:pPr>
            <w:r>
              <w:rPr>
                <w:sz w:val="24"/>
              </w:rPr>
              <w:t xml:space="preserve">Количество вакантных ставок</w:t>
            </w:r>
          </w:p>
        </w:tc>
        <w:tc>
          <w:tcPr>
            <w:tcW w:w="783" w:type="dxa"/>
          </w:tcPr>
          <w:p>
            <w:pPr>
              <w:pStyle w:val="0"/>
              <w:jc w:val="center"/>
            </w:pPr>
            <w:r>
              <w:rPr>
                <w:sz w:val="24"/>
              </w:rPr>
              <w:t xml:space="preserve">На дату</w:t>
            </w:r>
          </w:p>
        </w:tc>
      </w:tr>
      <w:tr>
        <w:tc>
          <w:tcPr>
            <w:tcW w:w="566" w:type="dxa"/>
          </w:tcPr>
          <w:p>
            <w:pPr>
              <w:pStyle w:val="0"/>
            </w:pPr>
            <w:r>
              <w:rPr>
                <w:sz w:val="24"/>
              </w:rPr>
            </w:r>
          </w:p>
        </w:tc>
        <w:tc>
          <w:tcPr>
            <w:tcW w:w="1304" w:type="dxa"/>
          </w:tcPr>
          <w:p>
            <w:pPr>
              <w:pStyle w:val="0"/>
            </w:pPr>
            <w:r>
              <w:rPr>
                <w:sz w:val="24"/>
              </w:rPr>
            </w:r>
          </w:p>
        </w:tc>
        <w:tc>
          <w:tcPr>
            <w:tcW w:w="1020" w:type="dxa"/>
          </w:tcPr>
          <w:p>
            <w:pPr>
              <w:pStyle w:val="0"/>
            </w:pPr>
            <w:r>
              <w:rPr>
                <w:sz w:val="24"/>
              </w:rPr>
            </w:r>
          </w:p>
        </w:tc>
        <w:tc>
          <w:tcPr>
            <w:tcW w:w="1133" w:type="dxa"/>
          </w:tcPr>
          <w:p>
            <w:pPr>
              <w:pStyle w:val="0"/>
            </w:pPr>
            <w:r>
              <w:rPr>
                <w:sz w:val="24"/>
              </w:rPr>
            </w:r>
          </w:p>
        </w:tc>
        <w:tc>
          <w:tcPr>
            <w:tcW w:w="907" w:type="dxa"/>
          </w:tcPr>
          <w:p>
            <w:pPr>
              <w:pStyle w:val="0"/>
            </w:pPr>
            <w:r>
              <w:rPr>
                <w:sz w:val="24"/>
              </w:rPr>
            </w:r>
          </w:p>
        </w:tc>
        <w:tc>
          <w:tcPr>
            <w:tcW w:w="964" w:type="dxa"/>
          </w:tcPr>
          <w:p>
            <w:pPr>
              <w:pStyle w:val="0"/>
            </w:pPr>
            <w:r>
              <w:rPr>
                <w:sz w:val="24"/>
              </w:rPr>
            </w:r>
          </w:p>
        </w:tc>
        <w:tc>
          <w:tcPr>
            <w:tcW w:w="794" w:type="dxa"/>
          </w:tcPr>
          <w:p>
            <w:pPr>
              <w:pStyle w:val="0"/>
            </w:pPr>
            <w:r>
              <w:rPr>
                <w:sz w:val="24"/>
              </w:rPr>
            </w:r>
          </w:p>
        </w:tc>
        <w:tc>
          <w:tcPr>
            <w:tcW w:w="794" w:type="dxa"/>
          </w:tcPr>
          <w:p>
            <w:pPr>
              <w:pStyle w:val="0"/>
            </w:pPr>
            <w:r>
              <w:rPr>
                <w:sz w:val="24"/>
              </w:rPr>
            </w:r>
          </w:p>
        </w:tc>
        <w:tc>
          <w:tcPr>
            <w:tcW w:w="794" w:type="dxa"/>
          </w:tcPr>
          <w:p>
            <w:pPr>
              <w:pStyle w:val="0"/>
            </w:pPr>
            <w:r>
              <w:rPr>
                <w:sz w:val="24"/>
              </w:rPr>
            </w:r>
          </w:p>
        </w:tc>
        <w:tc>
          <w:tcPr>
            <w:tcW w:w="783" w:type="dxa"/>
          </w:tcPr>
          <w:p>
            <w:pPr>
              <w:pStyle w:val="0"/>
            </w:pPr>
            <w:r>
              <w:rPr>
                <w:sz w:val="24"/>
              </w:rPr>
            </w:r>
          </w:p>
        </w:tc>
      </w:tr>
    </w:tbl>
    <w:p>
      <w:pPr>
        <w:pStyle w:val="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566"/>
        <w:gridCol w:w="2324"/>
        <w:gridCol w:w="1020"/>
        <w:gridCol w:w="1417"/>
        <w:gridCol w:w="907"/>
        <w:gridCol w:w="794"/>
        <w:gridCol w:w="794"/>
        <w:gridCol w:w="1247"/>
      </w:tblGrid>
      <w:tr>
        <w:tblPrEx>
          <w:tblBorders>
            <w:left w:val="nil"/>
            <w:right w:val="nil"/>
          </w:tblBorders>
        </w:tblPrEx>
        <w:tc>
          <w:tcPr>
            <w:gridSpan w:val="8"/>
            <w:tcW w:w="9069" w:type="dxa"/>
            <w:tcBorders>
              <w:left w:val="nil"/>
              <w:right w:val="nil"/>
            </w:tcBorders>
          </w:tcPr>
          <w:p>
            <w:pPr>
              <w:pStyle w:val="0"/>
              <w:outlineLvl w:val="3"/>
              <w:ind w:firstLine="283"/>
              <w:jc w:val="both"/>
            </w:pPr>
            <w:r>
              <w:rPr>
                <w:sz w:val="24"/>
              </w:rPr>
              <w:t xml:space="preserve">Мощность первичной медико-санитарной помощи. Дневной стационар</w:t>
            </w:r>
          </w:p>
        </w:tc>
      </w:tr>
      <w:tr>
        <w:tc>
          <w:tcPr>
            <w:tcW w:w="566" w:type="dxa"/>
            <w:vMerge w:val="restart"/>
          </w:tcPr>
          <w:p>
            <w:pPr>
              <w:pStyle w:val="0"/>
              <w:jc w:val="center"/>
            </w:pPr>
            <w:r>
              <w:rPr>
                <w:sz w:val="24"/>
              </w:rPr>
              <w:t xml:space="preserve">N п/п</w:t>
            </w:r>
          </w:p>
        </w:tc>
        <w:tc>
          <w:tcPr>
            <w:tcW w:w="2324" w:type="dxa"/>
            <w:vMerge w:val="restart"/>
          </w:tcPr>
          <w:p>
            <w:pPr>
              <w:pStyle w:val="0"/>
              <w:jc w:val="center"/>
            </w:pPr>
            <w:r>
              <w:rPr>
                <w:sz w:val="24"/>
              </w:rPr>
              <w:t xml:space="preserve">Адрес оказания медицинской помощи</w:t>
            </w:r>
          </w:p>
        </w:tc>
        <w:tc>
          <w:tcPr>
            <w:tcW w:w="1020" w:type="dxa"/>
            <w:vMerge w:val="restart"/>
          </w:tcPr>
          <w:p>
            <w:pPr>
              <w:pStyle w:val="0"/>
              <w:jc w:val="center"/>
            </w:pPr>
            <w:r>
              <w:rPr>
                <w:sz w:val="24"/>
              </w:rPr>
              <w:t xml:space="preserve">Код профиля медицинской помощи</w:t>
            </w:r>
          </w:p>
        </w:tc>
        <w:tc>
          <w:tcPr>
            <w:tcW w:w="1417" w:type="dxa"/>
            <w:vMerge w:val="restart"/>
          </w:tcPr>
          <w:p>
            <w:pPr>
              <w:pStyle w:val="0"/>
              <w:jc w:val="center"/>
            </w:pPr>
            <w:r>
              <w:rPr>
                <w:sz w:val="24"/>
              </w:rPr>
              <w:t xml:space="preserve">Наименование профиля медицинской помощи</w:t>
            </w:r>
          </w:p>
        </w:tc>
        <w:tc>
          <w:tcPr>
            <w:tcW w:w="907" w:type="dxa"/>
            <w:vMerge w:val="restart"/>
          </w:tcPr>
          <w:p>
            <w:pPr>
              <w:pStyle w:val="0"/>
              <w:jc w:val="center"/>
            </w:pPr>
            <w:r>
              <w:rPr>
                <w:sz w:val="24"/>
              </w:rPr>
              <w:t xml:space="preserve">Число коек</w:t>
            </w:r>
          </w:p>
        </w:tc>
        <w:tc>
          <w:tcPr>
            <w:tcW w:w="794" w:type="dxa"/>
            <w:vMerge w:val="restart"/>
          </w:tcPr>
          <w:p>
            <w:pPr>
              <w:pStyle w:val="0"/>
              <w:jc w:val="center"/>
            </w:pPr>
            <w:r>
              <w:rPr>
                <w:sz w:val="24"/>
              </w:rPr>
              <w:t xml:space="preserve">Среднегодовая занятость койки</w:t>
            </w:r>
          </w:p>
        </w:tc>
        <w:tc>
          <w:tcPr>
            <w:gridSpan w:val="2"/>
            <w:tcW w:w="2041" w:type="dxa"/>
          </w:tcPr>
          <w:p>
            <w:pPr>
              <w:pStyle w:val="0"/>
              <w:jc w:val="center"/>
            </w:pPr>
            <w:r>
              <w:rPr>
                <w:sz w:val="24"/>
              </w:rPr>
              <w:t xml:space="preserve">В том числе для реализации территориальной программы</w:t>
            </w:r>
          </w:p>
        </w:tc>
      </w:tr>
      <w:tr>
        <w:tc>
          <w:tcPr>
            <w:vMerge w:val="continue"/>
          </w:tcPr>
          <w:p/>
        </w:tc>
        <w:tc>
          <w:tcPr>
            <w:vMerge w:val="continue"/>
          </w:tcPr>
          <w:p/>
        </w:tc>
        <w:tc>
          <w:tcPr>
            <w:vMerge w:val="continue"/>
          </w:tcPr>
          <w:p/>
        </w:tc>
        <w:tc>
          <w:tcPr>
            <w:vMerge w:val="continue"/>
          </w:tcPr>
          <w:p/>
        </w:tc>
        <w:tc>
          <w:tcPr>
            <w:vMerge w:val="continue"/>
          </w:tcPr>
          <w:p/>
        </w:tc>
        <w:tc>
          <w:tcPr>
            <w:vMerge w:val="continue"/>
          </w:tcPr>
          <w:p/>
        </w:tc>
        <w:tc>
          <w:tcPr>
            <w:tcW w:w="794" w:type="dxa"/>
          </w:tcPr>
          <w:p>
            <w:pPr>
              <w:pStyle w:val="0"/>
              <w:jc w:val="center"/>
            </w:pPr>
            <w:r>
              <w:rPr>
                <w:sz w:val="24"/>
              </w:rPr>
              <w:t xml:space="preserve">Число коек</w:t>
            </w:r>
          </w:p>
        </w:tc>
        <w:tc>
          <w:tcPr>
            <w:tcW w:w="1247" w:type="dxa"/>
          </w:tcPr>
          <w:p>
            <w:pPr>
              <w:pStyle w:val="0"/>
              <w:jc w:val="center"/>
            </w:pPr>
            <w:r>
              <w:rPr>
                <w:sz w:val="24"/>
              </w:rPr>
              <w:t xml:space="preserve">Среднегодовая занятость койки</w:t>
            </w:r>
          </w:p>
        </w:tc>
      </w:tr>
      <w:tr>
        <w:tc>
          <w:tcPr>
            <w:tcW w:w="566" w:type="dxa"/>
          </w:tcPr>
          <w:p>
            <w:pPr>
              <w:pStyle w:val="0"/>
            </w:pPr>
            <w:r>
              <w:rPr>
                <w:sz w:val="24"/>
              </w:rPr>
            </w:r>
          </w:p>
        </w:tc>
        <w:tc>
          <w:tcPr>
            <w:tcW w:w="2324" w:type="dxa"/>
          </w:tcPr>
          <w:p>
            <w:pPr>
              <w:pStyle w:val="0"/>
            </w:pPr>
            <w:r>
              <w:rPr>
                <w:sz w:val="24"/>
              </w:rPr>
            </w:r>
          </w:p>
        </w:tc>
        <w:tc>
          <w:tcPr>
            <w:tcW w:w="1020" w:type="dxa"/>
          </w:tcPr>
          <w:p>
            <w:pPr>
              <w:pStyle w:val="0"/>
            </w:pPr>
            <w:r>
              <w:rPr>
                <w:sz w:val="24"/>
              </w:rPr>
            </w:r>
          </w:p>
        </w:tc>
        <w:tc>
          <w:tcPr>
            <w:tcW w:w="1417" w:type="dxa"/>
          </w:tcPr>
          <w:p>
            <w:pPr>
              <w:pStyle w:val="0"/>
            </w:pPr>
            <w:r>
              <w:rPr>
                <w:sz w:val="24"/>
              </w:rPr>
            </w:r>
          </w:p>
        </w:tc>
        <w:tc>
          <w:tcPr>
            <w:tcW w:w="907" w:type="dxa"/>
          </w:tcPr>
          <w:p>
            <w:pPr>
              <w:pStyle w:val="0"/>
            </w:pPr>
            <w:r>
              <w:rPr>
                <w:sz w:val="24"/>
              </w:rPr>
            </w:r>
          </w:p>
        </w:tc>
        <w:tc>
          <w:tcPr>
            <w:tcW w:w="794" w:type="dxa"/>
          </w:tcPr>
          <w:p>
            <w:pPr>
              <w:pStyle w:val="0"/>
            </w:pPr>
            <w:r>
              <w:rPr>
                <w:sz w:val="24"/>
              </w:rPr>
            </w:r>
          </w:p>
        </w:tc>
        <w:tc>
          <w:tcPr>
            <w:tcW w:w="794" w:type="dxa"/>
          </w:tcPr>
          <w:p>
            <w:pPr>
              <w:pStyle w:val="0"/>
            </w:pPr>
            <w:r>
              <w:rPr>
                <w:sz w:val="24"/>
              </w:rPr>
            </w:r>
          </w:p>
        </w:tc>
        <w:tc>
          <w:tcPr>
            <w:tcW w:w="1247" w:type="dxa"/>
          </w:tcPr>
          <w:p>
            <w:pPr>
              <w:pStyle w:val="0"/>
            </w:pPr>
            <w:r>
              <w:rPr>
                <w:sz w:val="24"/>
              </w:rPr>
            </w:r>
          </w:p>
        </w:tc>
      </w:tr>
    </w:tbl>
    <w:p>
      <w:pPr>
        <w:pStyle w:val="0"/>
        <w:jc w:val="both"/>
      </w:pPr>
      <w:r>
        <w:rPr>
          <w:sz w:val="24"/>
        </w:rPr>
      </w:r>
    </w:p>
    <w:tbl>
      <w:tblPr>
        <w:tblInd w:w="0" w:type="dxa"/>
        <w:tblLayout w:type="fixed"/>
        <w:tblBorders>
          <w:left w:val="single" w:sz="4"/>
          <w:bottom w:val="single" w:sz="4"/>
          <w:right w:val="single" w:sz="4"/>
          <w:insideV w:val="single" w:sz="4"/>
          <w:insideH w:val="single" w:sz="4"/>
        </w:tblBorders>
        <w:tblCellMar>
          <w:top w:w="102" w:type="dxa"/>
          <w:left w:w="62" w:type="dxa"/>
          <w:bottom w:w="102" w:type="dxa"/>
          <w:right w:w="62" w:type="dxa"/>
        </w:tblCellMar>
      </w:tblPr>
      <w:tblGrid>
        <w:gridCol w:w="566"/>
        <w:gridCol w:w="2324"/>
        <w:gridCol w:w="1020"/>
        <w:gridCol w:w="1417"/>
        <w:gridCol w:w="907"/>
        <w:gridCol w:w="794"/>
        <w:gridCol w:w="794"/>
        <w:gridCol w:w="1247"/>
      </w:tblGrid>
      <w:tr>
        <w:tblPrEx>
          <w:tblBorders>
            <w:left w:val="nil"/>
            <w:right w:val="nil"/>
          </w:tblBorders>
        </w:tblPrEx>
        <w:tc>
          <w:tcPr>
            <w:gridSpan w:val="8"/>
            <w:tcW w:w="9069" w:type="dxa"/>
            <w:tcBorders>
              <w:top w:val="nil"/>
              <w:left w:val="nil"/>
              <w:right w:val="nil"/>
            </w:tcBorders>
          </w:tcPr>
          <w:p>
            <w:pPr>
              <w:pStyle w:val="0"/>
              <w:outlineLvl w:val="3"/>
              <w:ind w:firstLine="283"/>
              <w:jc w:val="both"/>
            </w:pPr>
            <w:r>
              <w:rPr>
                <w:sz w:val="24"/>
              </w:rPr>
              <w:t xml:space="preserve">Мощность скорой медицинской помощи</w:t>
            </w:r>
          </w:p>
        </w:tc>
      </w:tr>
      <w:tr>
        <w:tc>
          <w:tcPr>
            <w:tcW w:w="566" w:type="dxa"/>
            <w:vMerge w:val="restart"/>
          </w:tcPr>
          <w:p>
            <w:pPr>
              <w:pStyle w:val="0"/>
              <w:jc w:val="center"/>
            </w:pPr>
            <w:r>
              <w:rPr>
                <w:sz w:val="24"/>
              </w:rPr>
              <w:t xml:space="preserve">N п/п</w:t>
            </w:r>
          </w:p>
        </w:tc>
        <w:tc>
          <w:tcPr>
            <w:tcW w:w="2324" w:type="dxa"/>
            <w:vMerge w:val="restart"/>
          </w:tcPr>
          <w:p>
            <w:pPr>
              <w:pStyle w:val="0"/>
              <w:jc w:val="center"/>
            </w:pPr>
            <w:r>
              <w:rPr>
                <w:sz w:val="24"/>
              </w:rPr>
              <w:t xml:space="preserve">Адрес оказания медицинской помощи</w:t>
            </w:r>
          </w:p>
        </w:tc>
        <w:tc>
          <w:tcPr>
            <w:tcW w:w="1020" w:type="dxa"/>
            <w:vMerge w:val="restart"/>
          </w:tcPr>
          <w:p>
            <w:pPr>
              <w:pStyle w:val="0"/>
              <w:jc w:val="center"/>
            </w:pPr>
            <w:r>
              <w:rPr>
                <w:sz w:val="24"/>
              </w:rPr>
              <w:t xml:space="preserve">Количество машин</w:t>
            </w:r>
          </w:p>
        </w:tc>
        <w:tc>
          <w:tcPr>
            <w:tcW w:w="1417" w:type="dxa"/>
            <w:vMerge w:val="restart"/>
          </w:tcPr>
          <w:p>
            <w:pPr>
              <w:pStyle w:val="0"/>
              <w:jc w:val="center"/>
            </w:pPr>
            <w:r>
              <w:rPr>
                <w:sz w:val="24"/>
              </w:rPr>
              <w:t xml:space="preserve">Количество бригад</w:t>
            </w:r>
          </w:p>
        </w:tc>
        <w:tc>
          <w:tcPr>
            <w:tcW w:w="907" w:type="dxa"/>
            <w:vMerge w:val="restart"/>
          </w:tcPr>
          <w:p>
            <w:pPr>
              <w:pStyle w:val="0"/>
              <w:jc w:val="center"/>
            </w:pPr>
            <w:r>
              <w:rPr>
                <w:sz w:val="24"/>
              </w:rPr>
              <w:t xml:space="preserve">Количество врачей (фельдшеров)</w:t>
            </w:r>
          </w:p>
        </w:tc>
        <w:tc>
          <w:tcPr>
            <w:gridSpan w:val="3"/>
            <w:tcW w:w="2835" w:type="dxa"/>
          </w:tcPr>
          <w:p>
            <w:pPr>
              <w:pStyle w:val="0"/>
              <w:jc w:val="center"/>
            </w:pPr>
            <w:r>
              <w:rPr>
                <w:sz w:val="24"/>
              </w:rPr>
              <w:t xml:space="preserve">В том числе для реализации территориальной программы</w:t>
            </w:r>
          </w:p>
        </w:tc>
      </w:tr>
      <w:tr>
        <w:tc>
          <w:tcPr>
            <w:vMerge w:val="continue"/>
          </w:tcPr>
          <w:p/>
        </w:tc>
        <w:tc>
          <w:tcPr>
            <w:vMerge w:val="continue"/>
          </w:tcPr>
          <w:p/>
        </w:tc>
        <w:tc>
          <w:tcPr>
            <w:vMerge w:val="continue"/>
          </w:tcPr>
          <w:p/>
        </w:tc>
        <w:tc>
          <w:tcPr>
            <w:vMerge w:val="continue"/>
          </w:tcPr>
          <w:p/>
        </w:tc>
        <w:tc>
          <w:tcPr>
            <w:vMerge w:val="continue"/>
          </w:tcPr>
          <w:p/>
        </w:tc>
        <w:tc>
          <w:tcPr>
            <w:tcW w:w="794" w:type="dxa"/>
          </w:tcPr>
          <w:p>
            <w:pPr>
              <w:pStyle w:val="0"/>
              <w:jc w:val="center"/>
            </w:pPr>
            <w:r>
              <w:rPr>
                <w:sz w:val="24"/>
              </w:rPr>
              <w:t xml:space="preserve">Количество машин</w:t>
            </w:r>
          </w:p>
        </w:tc>
        <w:tc>
          <w:tcPr>
            <w:tcW w:w="794" w:type="dxa"/>
          </w:tcPr>
          <w:p>
            <w:pPr>
              <w:pStyle w:val="0"/>
              <w:jc w:val="center"/>
            </w:pPr>
            <w:r>
              <w:rPr>
                <w:sz w:val="24"/>
              </w:rPr>
              <w:t xml:space="preserve">Количество бригад</w:t>
            </w:r>
          </w:p>
        </w:tc>
        <w:tc>
          <w:tcPr>
            <w:tcW w:w="1247" w:type="dxa"/>
          </w:tcPr>
          <w:p>
            <w:pPr>
              <w:pStyle w:val="0"/>
              <w:jc w:val="center"/>
            </w:pPr>
            <w:r>
              <w:rPr>
                <w:sz w:val="24"/>
              </w:rPr>
              <w:t xml:space="preserve">Количество врачей (фельдшеров)</w:t>
            </w:r>
          </w:p>
        </w:tc>
      </w:tr>
      <w:tr>
        <w:tc>
          <w:tcPr>
            <w:tcW w:w="566" w:type="dxa"/>
          </w:tcPr>
          <w:p>
            <w:pPr>
              <w:pStyle w:val="0"/>
            </w:pPr>
            <w:r>
              <w:rPr>
                <w:sz w:val="24"/>
              </w:rPr>
            </w:r>
          </w:p>
        </w:tc>
        <w:tc>
          <w:tcPr>
            <w:tcW w:w="2324" w:type="dxa"/>
          </w:tcPr>
          <w:p>
            <w:pPr>
              <w:pStyle w:val="0"/>
            </w:pPr>
            <w:r>
              <w:rPr>
                <w:sz w:val="24"/>
              </w:rPr>
            </w:r>
          </w:p>
        </w:tc>
        <w:tc>
          <w:tcPr>
            <w:tcW w:w="1020" w:type="dxa"/>
          </w:tcPr>
          <w:p>
            <w:pPr>
              <w:pStyle w:val="0"/>
            </w:pPr>
            <w:r>
              <w:rPr>
                <w:sz w:val="24"/>
              </w:rPr>
            </w:r>
          </w:p>
        </w:tc>
        <w:tc>
          <w:tcPr>
            <w:tcW w:w="1417" w:type="dxa"/>
          </w:tcPr>
          <w:p>
            <w:pPr>
              <w:pStyle w:val="0"/>
            </w:pPr>
            <w:r>
              <w:rPr>
                <w:sz w:val="24"/>
              </w:rPr>
            </w:r>
          </w:p>
        </w:tc>
        <w:tc>
          <w:tcPr>
            <w:tcW w:w="907" w:type="dxa"/>
          </w:tcPr>
          <w:p>
            <w:pPr>
              <w:pStyle w:val="0"/>
            </w:pPr>
            <w:r>
              <w:rPr>
                <w:sz w:val="24"/>
              </w:rPr>
            </w:r>
          </w:p>
        </w:tc>
        <w:tc>
          <w:tcPr>
            <w:tcW w:w="794" w:type="dxa"/>
          </w:tcPr>
          <w:p>
            <w:pPr>
              <w:pStyle w:val="0"/>
            </w:pPr>
            <w:r>
              <w:rPr>
                <w:sz w:val="24"/>
              </w:rPr>
            </w:r>
          </w:p>
        </w:tc>
        <w:tc>
          <w:tcPr>
            <w:tcW w:w="794" w:type="dxa"/>
          </w:tcPr>
          <w:p>
            <w:pPr>
              <w:pStyle w:val="0"/>
            </w:pPr>
            <w:r>
              <w:rPr>
                <w:sz w:val="24"/>
              </w:rPr>
            </w:r>
          </w:p>
        </w:tc>
        <w:tc>
          <w:tcPr>
            <w:tcW w:w="1247" w:type="dxa"/>
          </w:tcPr>
          <w:p>
            <w:pPr>
              <w:pStyle w:val="0"/>
            </w:pPr>
            <w:r>
              <w:rPr>
                <w:sz w:val="24"/>
              </w:rPr>
            </w:r>
          </w:p>
        </w:tc>
      </w:tr>
    </w:tbl>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2"/>
        <w:jc w:val="right"/>
      </w:pPr>
      <w:r>
        <w:rPr>
          <w:sz w:val="24"/>
        </w:rPr>
        <w:t xml:space="preserve">Приложение N 6</w:t>
      </w:r>
    </w:p>
    <w:p>
      <w:pPr>
        <w:pStyle w:val="0"/>
        <w:jc w:val="right"/>
      </w:pPr>
      <w:r>
        <w:rPr>
          <w:sz w:val="24"/>
        </w:rPr>
        <w:t xml:space="preserve">к уведомлению о включении медицинской</w:t>
      </w:r>
    </w:p>
    <w:p>
      <w:pPr>
        <w:pStyle w:val="0"/>
        <w:jc w:val="right"/>
      </w:pPr>
      <w:r>
        <w:rPr>
          <w:sz w:val="24"/>
        </w:rPr>
        <w:t xml:space="preserve">организации в реестр медицинских</w:t>
      </w:r>
    </w:p>
    <w:p>
      <w:pPr>
        <w:pStyle w:val="0"/>
        <w:jc w:val="right"/>
      </w:pPr>
      <w:r>
        <w:rPr>
          <w:sz w:val="24"/>
        </w:rPr>
        <w:t xml:space="preserve">организаций, осуществляющих деятельность</w:t>
      </w:r>
    </w:p>
    <w:p>
      <w:pPr>
        <w:pStyle w:val="0"/>
        <w:jc w:val="right"/>
      </w:pPr>
      <w:r>
        <w:rPr>
          <w:sz w:val="24"/>
        </w:rPr>
        <w:t xml:space="preserve">в сфере обязательного медицинского</w:t>
      </w:r>
    </w:p>
    <w:p>
      <w:pPr>
        <w:pStyle w:val="0"/>
        <w:jc w:val="right"/>
      </w:pPr>
      <w:r>
        <w:rPr>
          <w:sz w:val="24"/>
        </w:rPr>
        <w:t xml:space="preserve">страхования по территориальной</w:t>
      </w:r>
    </w:p>
    <w:p>
      <w:pPr>
        <w:pStyle w:val="0"/>
        <w:jc w:val="right"/>
      </w:pPr>
      <w:r>
        <w:rPr>
          <w:sz w:val="24"/>
        </w:rPr>
        <w:t xml:space="preserve">программе обязательного</w:t>
      </w:r>
    </w:p>
    <w:p>
      <w:pPr>
        <w:pStyle w:val="0"/>
        <w:jc w:val="right"/>
      </w:pPr>
      <w:r>
        <w:rPr>
          <w:sz w:val="24"/>
        </w:rPr>
        <w:t xml:space="preserve">медицинского страхования</w:t>
      </w:r>
    </w:p>
    <w:p>
      <w:pPr>
        <w:pStyle w:val="0"/>
        <w:jc w:val="both"/>
      </w:pPr>
      <w:r>
        <w:rPr>
          <w:sz w:val="24"/>
        </w:rPr>
      </w:r>
    </w:p>
    <w:p>
      <w:pPr>
        <w:pStyle w:val="0"/>
        <w:jc w:val="center"/>
      </w:pPr>
      <w:r>
        <w:rPr>
          <w:sz w:val="24"/>
        </w:rPr>
        <w:t xml:space="preserve">Виды и формы</w:t>
      </w:r>
    </w:p>
    <w:p>
      <w:pPr>
        <w:pStyle w:val="0"/>
        <w:jc w:val="center"/>
      </w:pPr>
      <w:r>
        <w:rPr>
          <w:sz w:val="24"/>
        </w:rPr>
        <w:t xml:space="preserve">медицинской помощи, планируемые к оказанию медицинской</w:t>
      </w:r>
    </w:p>
    <w:p>
      <w:pPr>
        <w:pStyle w:val="0"/>
        <w:jc w:val="center"/>
      </w:pPr>
      <w:r>
        <w:rPr>
          <w:sz w:val="24"/>
        </w:rPr>
        <w:t xml:space="preserve">организацией в рамках территориальной программы, в разрезе</w:t>
      </w:r>
    </w:p>
    <w:p>
      <w:pPr>
        <w:pStyle w:val="0"/>
        <w:jc w:val="center"/>
      </w:pPr>
      <w:r>
        <w:rPr>
          <w:sz w:val="24"/>
        </w:rPr>
        <w:t xml:space="preserve">условий оказания и профилей медицинской помощи</w:t>
      </w:r>
    </w:p>
    <w:p>
      <w:pPr>
        <w:pStyle w:val="0"/>
        <w:jc w:val="both"/>
      </w:pPr>
      <w:r>
        <w:rPr>
          <w:sz w:val="24"/>
        </w:rPr>
      </w:r>
    </w:p>
    <w:tbl>
      <w:tblPr>
        <w:tblInd w:w="0" w:type="dxa"/>
        <w:tblLayout w:type="fixed"/>
        <w:tblCellMar>
          <w:top w:w="102" w:type="dxa"/>
          <w:left w:w="62" w:type="dxa"/>
          <w:bottom w:w="102" w:type="dxa"/>
          <w:right w:w="62" w:type="dxa"/>
        </w:tblCellMar>
      </w:tblPr>
      <w:tblGrid>
        <w:gridCol w:w="2267"/>
        <w:gridCol w:w="1190"/>
        <w:gridCol w:w="340"/>
        <w:gridCol w:w="5272"/>
      </w:tblGrid>
      <w:tr>
        <w:tc>
          <w:tcPr>
            <w:tcW w:w="2267" w:type="dxa"/>
            <w:vAlign w:val="bottom"/>
            <w:tcBorders>
              <w:top w:val="nil"/>
              <w:left w:val="nil"/>
              <w:bottom w:val="nil"/>
              <w:right w:val="nil"/>
            </w:tcBorders>
          </w:tcPr>
          <w:p>
            <w:pPr>
              <w:pStyle w:val="0"/>
              <w:ind w:firstLine="283"/>
              <w:jc w:val="both"/>
            </w:pPr>
            <w:r>
              <w:rPr>
                <w:sz w:val="24"/>
              </w:rPr>
              <w:t xml:space="preserve">N уведомления</w:t>
            </w:r>
          </w:p>
        </w:tc>
        <w:tc>
          <w:tcPr>
            <w:tcW w:w="1190" w:type="dxa"/>
            <w:tcBorders>
              <w:top w:val="nil"/>
              <w:left w:val="nil"/>
              <w:bottom w:val="single" w:sz="4"/>
              <w:right w:val="nil"/>
            </w:tcBorders>
          </w:tcPr>
          <w:p>
            <w:pPr>
              <w:pStyle w:val="0"/>
            </w:pPr>
            <w:r>
              <w:rPr>
                <w:sz w:val="24"/>
              </w:rPr>
            </w:r>
          </w:p>
        </w:tc>
        <w:tc>
          <w:tcPr>
            <w:tcW w:w="340" w:type="dxa"/>
            <w:tcBorders>
              <w:top w:val="nil"/>
              <w:left w:val="nil"/>
              <w:bottom w:val="nil"/>
              <w:right w:val="nil"/>
            </w:tcBorders>
          </w:tcPr>
          <w:p>
            <w:pPr>
              <w:pStyle w:val="0"/>
            </w:pPr>
            <w:r>
              <w:rPr>
                <w:sz w:val="24"/>
              </w:rPr>
            </w:r>
          </w:p>
        </w:tc>
        <w:tc>
          <w:tcPr>
            <w:tcW w:w="5272" w:type="dxa"/>
            <w:tcBorders>
              <w:top w:val="nil"/>
              <w:left w:val="nil"/>
              <w:bottom w:val="single" w:sz="4"/>
              <w:right w:val="nil"/>
            </w:tcBorders>
          </w:tcPr>
          <w:p>
            <w:pPr>
              <w:pStyle w:val="0"/>
            </w:pPr>
            <w:r>
              <w:rPr>
                <w:sz w:val="24"/>
              </w:rPr>
            </w:r>
          </w:p>
        </w:tc>
      </w:tr>
      <w:tr>
        <w:tc>
          <w:tcPr>
            <w:gridSpan w:val="2"/>
            <w:tcW w:w="3457" w:type="dxa"/>
            <w:tcBorders>
              <w:top w:val="nil"/>
              <w:left w:val="nil"/>
              <w:bottom w:val="nil"/>
              <w:right w:val="nil"/>
            </w:tcBorders>
          </w:tcPr>
          <w:p>
            <w:pPr>
              <w:pStyle w:val="0"/>
            </w:pPr>
            <w:r>
              <w:rPr>
                <w:sz w:val="24"/>
              </w:rPr>
            </w:r>
          </w:p>
        </w:tc>
        <w:tc>
          <w:tcPr>
            <w:tcW w:w="340" w:type="dxa"/>
            <w:tcBorders>
              <w:top w:val="nil"/>
              <w:left w:val="nil"/>
              <w:bottom w:val="nil"/>
              <w:right w:val="nil"/>
            </w:tcBorders>
          </w:tcPr>
          <w:p>
            <w:pPr>
              <w:pStyle w:val="0"/>
            </w:pPr>
            <w:r>
              <w:rPr>
                <w:sz w:val="24"/>
              </w:rPr>
            </w:r>
          </w:p>
        </w:tc>
        <w:tc>
          <w:tcPr>
            <w:tcW w:w="5272" w:type="dxa"/>
            <w:tcBorders>
              <w:top w:val="single" w:sz="4"/>
              <w:left w:val="nil"/>
              <w:bottom w:val="nil"/>
              <w:right w:val="nil"/>
            </w:tcBorders>
          </w:tcPr>
          <w:p>
            <w:pPr>
              <w:pStyle w:val="0"/>
              <w:jc w:val="center"/>
            </w:pPr>
            <w:r>
              <w:rPr>
                <w:sz w:val="24"/>
              </w:rPr>
              <w:t xml:space="preserve">(наименование медицинской организации)</w:t>
            </w:r>
          </w:p>
        </w:tc>
      </w:tr>
    </w:tbl>
    <w:p>
      <w:pPr>
        <w:pStyle w:val="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567"/>
        <w:gridCol w:w="3402"/>
        <w:gridCol w:w="1701"/>
        <w:gridCol w:w="1757"/>
        <w:gridCol w:w="1644"/>
      </w:tblGrid>
      <w:tr>
        <w:tc>
          <w:tcPr>
            <w:tcW w:w="567" w:type="dxa"/>
          </w:tcPr>
          <w:p>
            <w:pPr>
              <w:pStyle w:val="0"/>
              <w:jc w:val="center"/>
            </w:pPr>
            <w:r>
              <w:rPr>
                <w:sz w:val="24"/>
              </w:rPr>
              <w:t xml:space="preserve">N пп</w:t>
            </w:r>
          </w:p>
        </w:tc>
        <w:tc>
          <w:tcPr>
            <w:tcW w:w="3402" w:type="dxa"/>
          </w:tcPr>
          <w:p>
            <w:pPr>
              <w:pStyle w:val="0"/>
              <w:jc w:val="center"/>
            </w:pPr>
            <w:r>
              <w:rPr>
                <w:sz w:val="24"/>
              </w:rPr>
              <w:t xml:space="preserve">Наименование структурного подразделения (обособленного структурного подразделения)</w:t>
            </w:r>
          </w:p>
        </w:tc>
        <w:tc>
          <w:tcPr>
            <w:tcW w:w="1701" w:type="dxa"/>
          </w:tcPr>
          <w:p>
            <w:pPr>
              <w:pStyle w:val="0"/>
              <w:jc w:val="center"/>
            </w:pPr>
            <w:r>
              <w:rPr>
                <w:sz w:val="24"/>
              </w:rPr>
              <w:t xml:space="preserve">Вид медицинской помощи</w:t>
            </w:r>
          </w:p>
        </w:tc>
        <w:tc>
          <w:tcPr>
            <w:tcW w:w="1757" w:type="dxa"/>
          </w:tcPr>
          <w:p>
            <w:pPr>
              <w:pStyle w:val="0"/>
              <w:jc w:val="center"/>
            </w:pPr>
            <w:r>
              <w:rPr>
                <w:sz w:val="24"/>
              </w:rPr>
              <w:t xml:space="preserve">Условия оказания медицинской помощи</w:t>
            </w:r>
          </w:p>
        </w:tc>
        <w:tc>
          <w:tcPr>
            <w:tcW w:w="1644" w:type="dxa"/>
          </w:tcPr>
          <w:p>
            <w:pPr>
              <w:pStyle w:val="0"/>
              <w:jc w:val="center"/>
            </w:pPr>
            <w:r>
              <w:rPr>
                <w:sz w:val="24"/>
              </w:rPr>
              <w:t xml:space="preserve">Профиль медицинской помощи</w:t>
            </w:r>
          </w:p>
        </w:tc>
      </w:tr>
      <w:tr>
        <w:tc>
          <w:tcPr>
            <w:tcW w:w="567" w:type="dxa"/>
          </w:tcPr>
          <w:p>
            <w:pPr>
              <w:pStyle w:val="0"/>
            </w:pPr>
            <w:r>
              <w:rPr>
                <w:sz w:val="24"/>
              </w:rPr>
            </w:r>
          </w:p>
        </w:tc>
        <w:tc>
          <w:tcPr>
            <w:tcW w:w="3402" w:type="dxa"/>
          </w:tcPr>
          <w:p>
            <w:pPr>
              <w:pStyle w:val="0"/>
            </w:pPr>
            <w:r>
              <w:rPr>
                <w:sz w:val="24"/>
              </w:rPr>
            </w:r>
          </w:p>
        </w:tc>
        <w:tc>
          <w:tcPr>
            <w:tcW w:w="1701" w:type="dxa"/>
          </w:tcPr>
          <w:p>
            <w:pPr>
              <w:pStyle w:val="0"/>
            </w:pPr>
            <w:r>
              <w:rPr>
                <w:sz w:val="24"/>
              </w:rPr>
            </w:r>
          </w:p>
        </w:tc>
        <w:tc>
          <w:tcPr>
            <w:tcW w:w="1757" w:type="dxa"/>
          </w:tcPr>
          <w:p>
            <w:pPr>
              <w:pStyle w:val="0"/>
            </w:pPr>
            <w:r>
              <w:rPr>
                <w:sz w:val="24"/>
              </w:rPr>
            </w:r>
          </w:p>
        </w:tc>
        <w:tc>
          <w:tcPr>
            <w:tcW w:w="1644" w:type="dxa"/>
          </w:tcPr>
          <w:p>
            <w:pPr>
              <w:pStyle w:val="0"/>
            </w:pPr>
            <w:r>
              <w:rPr>
                <w:sz w:val="24"/>
              </w:rPr>
            </w:r>
          </w:p>
        </w:tc>
      </w:tr>
    </w:tbl>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2"/>
        <w:jc w:val="right"/>
      </w:pPr>
      <w:r>
        <w:rPr>
          <w:sz w:val="24"/>
        </w:rPr>
        <w:t xml:space="preserve">Приложение N 7</w:t>
      </w:r>
    </w:p>
    <w:p>
      <w:pPr>
        <w:pStyle w:val="0"/>
        <w:jc w:val="right"/>
      </w:pPr>
      <w:r>
        <w:rPr>
          <w:sz w:val="24"/>
        </w:rPr>
        <w:t xml:space="preserve">к уведомлению о включении медицинской</w:t>
      </w:r>
    </w:p>
    <w:p>
      <w:pPr>
        <w:pStyle w:val="0"/>
        <w:jc w:val="right"/>
      </w:pPr>
      <w:r>
        <w:rPr>
          <w:sz w:val="24"/>
        </w:rPr>
        <w:t xml:space="preserve">организации в реестр медицинских</w:t>
      </w:r>
    </w:p>
    <w:p>
      <w:pPr>
        <w:pStyle w:val="0"/>
        <w:jc w:val="right"/>
      </w:pPr>
      <w:r>
        <w:rPr>
          <w:sz w:val="24"/>
        </w:rPr>
        <w:t xml:space="preserve">организаций, осуществляющих деятельность</w:t>
      </w:r>
    </w:p>
    <w:p>
      <w:pPr>
        <w:pStyle w:val="0"/>
        <w:jc w:val="right"/>
      </w:pPr>
      <w:r>
        <w:rPr>
          <w:sz w:val="24"/>
        </w:rPr>
        <w:t xml:space="preserve">в сфере обязательного медицинского</w:t>
      </w:r>
    </w:p>
    <w:p>
      <w:pPr>
        <w:pStyle w:val="0"/>
        <w:jc w:val="right"/>
      </w:pPr>
      <w:r>
        <w:rPr>
          <w:sz w:val="24"/>
        </w:rPr>
        <w:t xml:space="preserve">страхования по территориальной</w:t>
      </w:r>
    </w:p>
    <w:p>
      <w:pPr>
        <w:pStyle w:val="0"/>
        <w:jc w:val="right"/>
      </w:pPr>
      <w:r>
        <w:rPr>
          <w:sz w:val="24"/>
        </w:rPr>
        <w:t xml:space="preserve">программе обязательного</w:t>
      </w:r>
    </w:p>
    <w:p>
      <w:pPr>
        <w:pStyle w:val="0"/>
        <w:jc w:val="right"/>
      </w:pPr>
      <w:r>
        <w:rPr>
          <w:sz w:val="24"/>
        </w:rPr>
        <w:t xml:space="preserve">медицинского страхования</w:t>
      </w:r>
    </w:p>
    <w:p>
      <w:pPr>
        <w:pStyle w:val="0"/>
        <w:jc w:val="both"/>
      </w:pPr>
      <w:r>
        <w:rPr>
          <w:sz w:val="24"/>
        </w:rPr>
      </w:r>
    </w:p>
    <w:p>
      <w:pPr>
        <w:pStyle w:val="0"/>
        <w:jc w:val="center"/>
      </w:pPr>
      <w:r>
        <w:rPr>
          <w:sz w:val="24"/>
        </w:rPr>
        <w:t xml:space="preserve">Предложения</w:t>
      </w:r>
    </w:p>
    <w:p>
      <w:pPr>
        <w:pStyle w:val="0"/>
        <w:jc w:val="center"/>
      </w:pPr>
      <w:r>
        <w:rPr>
          <w:sz w:val="24"/>
        </w:rPr>
        <w:t xml:space="preserve">о планируемых к выполнению объемах</w:t>
      </w:r>
    </w:p>
    <w:p>
      <w:pPr>
        <w:pStyle w:val="0"/>
        <w:jc w:val="center"/>
      </w:pPr>
      <w:r>
        <w:rPr>
          <w:sz w:val="24"/>
        </w:rPr>
        <w:t xml:space="preserve">медицинской помощи на плановый год по видам</w:t>
      </w:r>
    </w:p>
    <w:p>
      <w:pPr>
        <w:pStyle w:val="0"/>
        <w:jc w:val="center"/>
      </w:pPr>
      <w:r>
        <w:rPr>
          <w:sz w:val="24"/>
        </w:rPr>
        <w:t xml:space="preserve">и условиям оказания медицинской помощи в разрезе профилей,</w:t>
      </w:r>
    </w:p>
    <w:p>
      <w:pPr>
        <w:pStyle w:val="0"/>
        <w:jc w:val="center"/>
      </w:pPr>
      <w:r>
        <w:rPr>
          <w:sz w:val="24"/>
        </w:rPr>
        <w:t xml:space="preserve">врачей-специалистов, количества вызовов скорой медицинской</w:t>
      </w:r>
    </w:p>
    <w:p>
      <w:pPr>
        <w:pStyle w:val="0"/>
        <w:jc w:val="center"/>
      </w:pPr>
      <w:r>
        <w:rPr>
          <w:sz w:val="24"/>
        </w:rPr>
        <w:t xml:space="preserve">помощи, клинико-профильных/клинико-статистических групп</w:t>
      </w:r>
    </w:p>
    <w:p>
      <w:pPr>
        <w:pStyle w:val="0"/>
        <w:jc w:val="center"/>
      </w:pPr>
      <w:r>
        <w:rPr>
          <w:sz w:val="24"/>
        </w:rPr>
        <w:t xml:space="preserve">заболеваний по детскому и взрослому населению, а также</w:t>
      </w:r>
    </w:p>
    <w:p>
      <w:pPr>
        <w:pStyle w:val="0"/>
        <w:jc w:val="center"/>
      </w:pPr>
      <w:r>
        <w:rPr>
          <w:sz w:val="24"/>
        </w:rPr>
        <w:t xml:space="preserve">планируемых к выполнению объемах диагностических</w:t>
      </w:r>
    </w:p>
    <w:p>
      <w:pPr>
        <w:pStyle w:val="0"/>
        <w:jc w:val="center"/>
      </w:pPr>
      <w:r>
        <w:rPr>
          <w:sz w:val="24"/>
        </w:rPr>
        <w:t xml:space="preserve">и (или) консультативных услуг на плановый год</w:t>
      </w:r>
    </w:p>
    <w:p>
      <w:pPr>
        <w:pStyle w:val="0"/>
        <w:jc w:val="center"/>
      </w:pPr>
      <w:r>
        <w:rPr>
          <w:sz w:val="24"/>
        </w:rPr>
        <w:t xml:space="preserve">взрослому и детскому населению согласно</w:t>
      </w:r>
    </w:p>
    <w:p>
      <w:pPr>
        <w:pStyle w:val="0"/>
        <w:jc w:val="center"/>
      </w:pPr>
      <w:r>
        <w:rPr>
          <w:sz w:val="24"/>
        </w:rPr>
        <w:t xml:space="preserve">номенклатуре медицинских услуг</w:t>
      </w:r>
    </w:p>
    <w:p>
      <w:pPr>
        <w:pStyle w:val="0"/>
        <w:jc w:val="both"/>
      </w:pPr>
      <w:r>
        <w:rPr>
          <w:sz w:val="24"/>
        </w:rPr>
      </w:r>
    </w:p>
    <w:tbl>
      <w:tblPr>
        <w:tblInd w:w="0" w:type="dxa"/>
        <w:tblLayout w:type="fixed"/>
        <w:tblCellMar>
          <w:top w:w="102" w:type="dxa"/>
          <w:left w:w="62" w:type="dxa"/>
          <w:bottom w:w="102" w:type="dxa"/>
          <w:right w:w="62" w:type="dxa"/>
        </w:tblCellMar>
      </w:tblPr>
      <w:tblGrid>
        <w:gridCol w:w="2267"/>
        <w:gridCol w:w="1190"/>
        <w:gridCol w:w="340"/>
        <w:gridCol w:w="5272"/>
      </w:tblGrid>
      <w:tr>
        <w:tc>
          <w:tcPr>
            <w:tcW w:w="2267" w:type="dxa"/>
            <w:vAlign w:val="bottom"/>
            <w:tcBorders>
              <w:top w:val="nil"/>
              <w:left w:val="nil"/>
              <w:bottom w:val="nil"/>
              <w:right w:val="nil"/>
            </w:tcBorders>
          </w:tcPr>
          <w:p>
            <w:pPr>
              <w:pStyle w:val="0"/>
              <w:ind w:firstLine="283"/>
              <w:jc w:val="both"/>
            </w:pPr>
            <w:r>
              <w:rPr>
                <w:sz w:val="24"/>
              </w:rPr>
              <w:t xml:space="preserve">N уведомления</w:t>
            </w:r>
          </w:p>
        </w:tc>
        <w:tc>
          <w:tcPr>
            <w:tcW w:w="1190" w:type="dxa"/>
            <w:tcBorders>
              <w:top w:val="nil"/>
              <w:left w:val="nil"/>
              <w:bottom w:val="single" w:sz="4"/>
              <w:right w:val="nil"/>
            </w:tcBorders>
          </w:tcPr>
          <w:p>
            <w:pPr>
              <w:pStyle w:val="0"/>
            </w:pPr>
            <w:r>
              <w:rPr>
                <w:sz w:val="24"/>
              </w:rPr>
            </w:r>
          </w:p>
        </w:tc>
        <w:tc>
          <w:tcPr>
            <w:tcW w:w="340" w:type="dxa"/>
            <w:tcBorders>
              <w:top w:val="nil"/>
              <w:left w:val="nil"/>
              <w:bottom w:val="nil"/>
              <w:right w:val="nil"/>
            </w:tcBorders>
          </w:tcPr>
          <w:p>
            <w:pPr>
              <w:pStyle w:val="0"/>
            </w:pPr>
            <w:r>
              <w:rPr>
                <w:sz w:val="24"/>
              </w:rPr>
            </w:r>
          </w:p>
        </w:tc>
        <w:tc>
          <w:tcPr>
            <w:tcW w:w="5272" w:type="dxa"/>
            <w:tcBorders>
              <w:top w:val="nil"/>
              <w:left w:val="nil"/>
              <w:bottom w:val="single" w:sz="4"/>
              <w:right w:val="nil"/>
            </w:tcBorders>
          </w:tcPr>
          <w:p>
            <w:pPr>
              <w:pStyle w:val="0"/>
            </w:pPr>
            <w:r>
              <w:rPr>
                <w:sz w:val="24"/>
              </w:rPr>
            </w:r>
          </w:p>
        </w:tc>
      </w:tr>
      <w:tr>
        <w:tc>
          <w:tcPr>
            <w:gridSpan w:val="2"/>
            <w:tcW w:w="3457" w:type="dxa"/>
            <w:tcBorders>
              <w:top w:val="nil"/>
              <w:left w:val="nil"/>
              <w:bottom w:val="nil"/>
              <w:right w:val="nil"/>
            </w:tcBorders>
          </w:tcPr>
          <w:p>
            <w:pPr>
              <w:pStyle w:val="0"/>
            </w:pPr>
            <w:r>
              <w:rPr>
                <w:sz w:val="24"/>
              </w:rPr>
            </w:r>
          </w:p>
        </w:tc>
        <w:tc>
          <w:tcPr>
            <w:tcW w:w="340" w:type="dxa"/>
            <w:tcBorders>
              <w:top w:val="nil"/>
              <w:left w:val="nil"/>
              <w:bottom w:val="nil"/>
              <w:right w:val="nil"/>
            </w:tcBorders>
          </w:tcPr>
          <w:p>
            <w:pPr>
              <w:pStyle w:val="0"/>
            </w:pPr>
            <w:r>
              <w:rPr>
                <w:sz w:val="24"/>
              </w:rPr>
            </w:r>
          </w:p>
        </w:tc>
        <w:tc>
          <w:tcPr>
            <w:tcW w:w="5272" w:type="dxa"/>
            <w:tcBorders>
              <w:top w:val="single" w:sz="4"/>
              <w:left w:val="nil"/>
              <w:bottom w:val="nil"/>
              <w:right w:val="nil"/>
            </w:tcBorders>
          </w:tcPr>
          <w:p>
            <w:pPr>
              <w:pStyle w:val="0"/>
              <w:jc w:val="center"/>
            </w:pPr>
            <w:r>
              <w:rPr>
                <w:sz w:val="24"/>
              </w:rPr>
              <w:t xml:space="preserve">(наименование медицинской организации)</w:t>
            </w:r>
          </w:p>
        </w:tc>
      </w:tr>
    </w:tbl>
    <w:p>
      <w:pPr>
        <w:pStyle w:val="0"/>
        <w:jc w:val="both"/>
      </w:pPr>
      <w:r>
        <w:rPr>
          <w:sz w:val="24"/>
        </w:rPr>
      </w:r>
    </w:p>
    <w:tbl>
      <w:tblPr>
        <w:tblInd w:w="0" w:type="dxa"/>
        <w:tblLayout w:type="fixed"/>
        <w:tblBorders>
          <w:left w:val="single" w:sz="4"/>
          <w:bottom w:val="single" w:sz="4"/>
          <w:right w:val="single" w:sz="4"/>
          <w:insideV w:val="single" w:sz="4"/>
          <w:insideH w:val="single" w:sz="4"/>
        </w:tblBorders>
        <w:tblCellMar>
          <w:top w:w="102" w:type="dxa"/>
          <w:left w:w="62" w:type="dxa"/>
          <w:bottom w:w="102" w:type="dxa"/>
          <w:right w:w="62" w:type="dxa"/>
        </w:tblCellMar>
      </w:tblPr>
      <w:tblGrid>
        <w:gridCol w:w="566"/>
        <w:gridCol w:w="1134"/>
        <w:gridCol w:w="2040"/>
        <w:gridCol w:w="1134"/>
        <w:gridCol w:w="1501"/>
        <w:gridCol w:w="1501"/>
        <w:gridCol w:w="1247"/>
      </w:tblGrid>
      <w:tr>
        <w:tblPrEx>
          <w:tblBorders>
            <w:left w:val="nil"/>
            <w:right w:val="nil"/>
          </w:tblBorders>
        </w:tblPrEx>
        <w:tc>
          <w:tcPr>
            <w:gridSpan w:val="7"/>
            <w:tcW w:w="9123" w:type="dxa"/>
            <w:tcBorders>
              <w:top w:val="nil"/>
              <w:left w:val="nil"/>
              <w:right w:val="nil"/>
            </w:tcBorders>
          </w:tcPr>
          <w:p>
            <w:pPr>
              <w:pStyle w:val="0"/>
              <w:outlineLvl w:val="3"/>
              <w:ind w:left="283"/>
            </w:pPr>
            <w:r>
              <w:rPr>
                <w:sz w:val="24"/>
              </w:rPr>
              <w:t xml:space="preserve">Специализированная медицинская помощь. Стационарно. Без высокотехнологичной медицинской помощи (далее - ВМП)</w:t>
            </w:r>
          </w:p>
        </w:tc>
      </w:tr>
      <w:tr>
        <w:tc>
          <w:tcPr>
            <w:tcW w:w="566" w:type="dxa"/>
          </w:tcPr>
          <w:p>
            <w:pPr>
              <w:pStyle w:val="0"/>
              <w:jc w:val="center"/>
            </w:pPr>
            <w:r>
              <w:rPr>
                <w:sz w:val="24"/>
              </w:rPr>
              <w:t xml:space="preserve">N пп</w:t>
            </w:r>
          </w:p>
        </w:tc>
        <w:tc>
          <w:tcPr>
            <w:tcW w:w="1134" w:type="dxa"/>
          </w:tcPr>
          <w:p>
            <w:pPr>
              <w:pStyle w:val="0"/>
              <w:jc w:val="center"/>
            </w:pPr>
            <w:r>
              <w:rPr>
                <w:sz w:val="24"/>
              </w:rPr>
              <w:t xml:space="preserve">Адрес оказания медицинской помощи</w:t>
            </w:r>
          </w:p>
        </w:tc>
        <w:tc>
          <w:tcPr>
            <w:tcW w:w="2040" w:type="dxa"/>
          </w:tcPr>
          <w:p>
            <w:pPr>
              <w:pStyle w:val="0"/>
              <w:jc w:val="center"/>
            </w:pPr>
            <w:r>
              <w:rPr>
                <w:sz w:val="24"/>
              </w:rPr>
              <w:t xml:space="preserve">Краткое наименование структурного подразделения (обособленного структурного подразделения)</w:t>
            </w:r>
          </w:p>
        </w:tc>
        <w:tc>
          <w:tcPr>
            <w:tcW w:w="1134" w:type="dxa"/>
          </w:tcPr>
          <w:p>
            <w:pPr>
              <w:pStyle w:val="0"/>
              <w:jc w:val="center"/>
            </w:pPr>
            <w:r>
              <w:rPr>
                <w:sz w:val="24"/>
              </w:rPr>
              <w:t xml:space="preserve">Профиль медицинской помощи</w:t>
            </w:r>
          </w:p>
        </w:tc>
        <w:tc>
          <w:tcPr>
            <w:tcW w:w="1501" w:type="dxa"/>
          </w:tcPr>
          <w:p>
            <w:pPr>
              <w:pStyle w:val="0"/>
              <w:jc w:val="center"/>
            </w:pPr>
            <w:r>
              <w:rPr>
                <w:sz w:val="24"/>
              </w:rPr>
              <w:t xml:space="preserve">Клинико-профильная группа (КПГ) (Код - Наименование)</w:t>
            </w:r>
          </w:p>
        </w:tc>
        <w:tc>
          <w:tcPr>
            <w:tcW w:w="1501" w:type="dxa"/>
          </w:tcPr>
          <w:p>
            <w:pPr>
              <w:pStyle w:val="0"/>
              <w:jc w:val="center"/>
            </w:pPr>
            <w:r>
              <w:rPr>
                <w:sz w:val="24"/>
              </w:rPr>
              <w:t xml:space="preserve">Клинико-статистическая группа (КСГ) (Код - Наименование)</w:t>
            </w:r>
          </w:p>
        </w:tc>
        <w:tc>
          <w:tcPr>
            <w:tcW w:w="1247" w:type="dxa"/>
          </w:tcPr>
          <w:p>
            <w:pPr>
              <w:pStyle w:val="0"/>
              <w:jc w:val="center"/>
            </w:pPr>
            <w:r>
              <w:rPr>
                <w:sz w:val="24"/>
              </w:rPr>
              <w:t xml:space="preserve">Объем медицинской помощи (случай)</w:t>
            </w:r>
          </w:p>
        </w:tc>
      </w:tr>
      <w:tr>
        <w:tc>
          <w:tcPr>
            <w:tcW w:w="566" w:type="dxa"/>
          </w:tcPr>
          <w:p>
            <w:pPr>
              <w:pStyle w:val="0"/>
            </w:pPr>
            <w:r>
              <w:rPr>
                <w:sz w:val="24"/>
              </w:rPr>
            </w:r>
          </w:p>
        </w:tc>
        <w:tc>
          <w:tcPr>
            <w:tcW w:w="1134" w:type="dxa"/>
          </w:tcPr>
          <w:p>
            <w:pPr>
              <w:pStyle w:val="0"/>
            </w:pPr>
            <w:r>
              <w:rPr>
                <w:sz w:val="24"/>
              </w:rPr>
            </w:r>
          </w:p>
        </w:tc>
        <w:tc>
          <w:tcPr>
            <w:tcW w:w="2040" w:type="dxa"/>
          </w:tcPr>
          <w:p>
            <w:pPr>
              <w:pStyle w:val="0"/>
            </w:pPr>
            <w:r>
              <w:rPr>
                <w:sz w:val="24"/>
              </w:rPr>
            </w:r>
          </w:p>
        </w:tc>
        <w:tc>
          <w:tcPr>
            <w:tcW w:w="1134" w:type="dxa"/>
          </w:tcPr>
          <w:p>
            <w:pPr>
              <w:pStyle w:val="0"/>
            </w:pPr>
            <w:r>
              <w:rPr>
                <w:sz w:val="24"/>
              </w:rPr>
            </w:r>
          </w:p>
        </w:tc>
        <w:tc>
          <w:tcPr>
            <w:tcW w:w="1501" w:type="dxa"/>
          </w:tcPr>
          <w:p>
            <w:pPr>
              <w:pStyle w:val="0"/>
            </w:pPr>
            <w:r>
              <w:rPr>
                <w:sz w:val="24"/>
              </w:rPr>
            </w:r>
          </w:p>
        </w:tc>
        <w:tc>
          <w:tcPr>
            <w:tcW w:w="1501" w:type="dxa"/>
          </w:tcPr>
          <w:p>
            <w:pPr>
              <w:pStyle w:val="0"/>
            </w:pPr>
            <w:r>
              <w:rPr>
                <w:sz w:val="24"/>
              </w:rPr>
            </w:r>
          </w:p>
        </w:tc>
        <w:tc>
          <w:tcPr>
            <w:tcW w:w="1247" w:type="dxa"/>
          </w:tcPr>
          <w:p>
            <w:pPr>
              <w:pStyle w:val="0"/>
            </w:pPr>
            <w:r>
              <w:rPr>
                <w:sz w:val="24"/>
              </w:rPr>
            </w:r>
          </w:p>
        </w:tc>
      </w:tr>
      <w:tr>
        <w:tc>
          <w:tcPr>
            <w:tcW w:w="566" w:type="dxa"/>
          </w:tcPr>
          <w:p>
            <w:pPr>
              <w:pStyle w:val="0"/>
            </w:pPr>
            <w:r>
              <w:rPr>
                <w:sz w:val="24"/>
              </w:rPr>
            </w:r>
          </w:p>
        </w:tc>
        <w:tc>
          <w:tcPr>
            <w:tcW w:w="1134" w:type="dxa"/>
          </w:tcPr>
          <w:p>
            <w:pPr>
              <w:pStyle w:val="0"/>
            </w:pPr>
            <w:r>
              <w:rPr>
                <w:sz w:val="24"/>
              </w:rPr>
            </w:r>
          </w:p>
        </w:tc>
        <w:tc>
          <w:tcPr>
            <w:tcW w:w="2040" w:type="dxa"/>
          </w:tcPr>
          <w:p>
            <w:pPr>
              <w:pStyle w:val="0"/>
            </w:pPr>
            <w:r>
              <w:rPr>
                <w:sz w:val="24"/>
              </w:rPr>
            </w:r>
          </w:p>
        </w:tc>
        <w:tc>
          <w:tcPr>
            <w:tcW w:w="1134" w:type="dxa"/>
          </w:tcPr>
          <w:p>
            <w:pPr>
              <w:pStyle w:val="0"/>
            </w:pPr>
            <w:r>
              <w:rPr>
                <w:sz w:val="24"/>
              </w:rPr>
            </w:r>
          </w:p>
        </w:tc>
        <w:tc>
          <w:tcPr>
            <w:tcW w:w="1501" w:type="dxa"/>
          </w:tcPr>
          <w:p>
            <w:pPr>
              <w:pStyle w:val="0"/>
            </w:pPr>
            <w:r>
              <w:rPr>
                <w:sz w:val="24"/>
              </w:rPr>
            </w:r>
          </w:p>
        </w:tc>
        <w:tc>
          <w:tcPr>
            <w:tcW w:w="1501" w:type="dxa"/>
            <w:vAlign w:val="center"/>
          </w:tcPr>
          <w:p>
            <w:pPr>
              <w:pStyle w:val="0"/>
              <w:jc w:val="center"/>
            </w:pPr>
            <w:r>
              <w:rPr>
                <w:sz w:val="24"/>
              </w:rPr>
              <w:t xml:space="preserve">Всего</w:t>
            </w:r>
          </w:p>
        </w:tc>
        <w:tc>
          <w:tcPr>
            <w:tcW w:w="1247" w:type="dxa"/>
          </w:tcPr>
          <w:p>
            <w:pPr>
              <w:pStyle w:val="0"/>
            </w:pPr>
            <w:r>
              <w:rPr>
                <w:sz w:val="24"/>
              </w:rPr>
            </w:r>
          </w:p>
        </w:tc>
      </w:tr>
    </w:tbl>
    <w:p>
      <w:pPr>
        <w:pStyle w:val="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566"/>
        <w:gridCol w:w="1304"/>
        <w:gridCol w:w="2891"/>
        <w:gridCol w:w="1134"/>
        <w:gridCol w:w="1077"/>
        <w:gridCol w:w="964"/>
        <w:gridCol w:w="1134"/>
      </w:tblGrid>
      <w:tr>
        <w:tblPrEx>
          <w:tblBorders>
            <w:left w:val="nil"/>
            <w:right w:val="nil"/>
          </w:tblBorders>
        </w:tblPrEx>
        <w:tc>
          <w:tcPr>
            <w:gridSpan w:val="7"/>
            <w:tcW w:w="9070" w:type="dxa"/>
            <w:tcBorders>
              <w:left w:val="nil"/>
              <w:right w:val="nil"/>
            </w:tcBorders>
          </w:tcPr>
          <w:p>
            <w:pPr>
              <w:pStyle w:val="0"/>
              <w:outlineLvl w:val="3"/>
              <w:ind w:firstLine="283"/>
              <w:jc w:val="both"/>
            </w:pPr>
            <w:r>
              <w:rPr>
                <w:sz w:val="24"/>
              </w:rPr>
              <w:t xml:space="preserve">Специализированная медицинская помощь. Стационарно. ВМП</w:t>
            </w:r>
          </w:p>
        </w:tc>
      </w:tr>
      <w:tr>
        <w:tc>
          <w:tcPr>
            <w:tcW w:w="566" w:type="dxa"/>
          </w:tcPr>
          <w:p>
            <w:pPr>
              <w:pStyle w:val="0"/>
              <w:jc w:val="center"/>
            </w:pPr>
            <w:r>
              <w:rPr>
                <w:sz w:val="24"/>
              </w:rPr>
              <w:t xml:space="preserve">N пп</w:t>
            </w:r>
          </w:p>
        </w:tc>
        <w:tc>
          <w:tcPr>
            <w:tcW w:w="1304" w:type="dxa"/>
          </w:tcPr>
          <w:p>
            <w:pPr>
              <w:pStyle w:val="0"/>
              <w:jc w:val="center"/>
            </w:pPr>
            <w:r>
              <w:rPr>
                <w:sz w:val="24"/>
              </w:rPr>
              <w:t xml:space="preserve">Адрес оказания медицинской помощи</w:t>
            </w:r>
          </w:p>
        </w:tc>
        <w:tc>
          <w:tcPr>
            <w:tcW w:w="2891" w:type="dxa"/>
          </w:tcPr>
          <w:p>
            <w:pPr>
              <w:pStyle w:val="0"/>
              <w:jc w:val="center"/>
            </w:pPr>
            <w:r>
              <w:rPr>
                <w:sz w:val="24"/>
              </w:rPr>
              <w:t xml:space="preserve">Краткое наименование структурного подразделения (обособленного структурного подразделения)</w:t>
            </w:r>
          </w:p>
        </w:tc>
        <w:tc>
          <w:tcPr>
            <w:tcW w:w="1134" w:type="dxa"/>
          </w:tcPr>
          <w:p>
            <w:pPr>
              <w:pStyle w:val="0"/>
              <w:jc w:val="center"/>
            </w:pPr>
            <w:r>
              <w:rPr>
                <w:sz w:val="24"/>
              </w:rPr>
              <w:t xml:space="preserve">Профиль медицинской помощи</w:t>
            </w:r>
          </w:p>
        </w:tc>
        <w:tc>
          <w:tcPr>
            <w:tcW w:w="1077" w:type="dxa"/>
          </w:tcPr>
          <w:p>
            <w:pPr>
              <w:pStyle w:val="0"/>
              <w:jc w:val="center"/>
            </w:pPr>
            <w:r>
              <w:rPr>
                <w:sz w:val="24"/>
              </w:rPr>
              <w:t xml:space="preserve">Номер группы ВМП</w:t>
            </w:r>
          </w:p>
        </w:tc>
        <w:tc>
          <w:tcPr>
            <w:tcW w:w="964" w:type="dxa"/>
          </w:tcPr>
          <w:p>
            <w:pPr>
              <w:pStyle w:val="0"/>
              <w:jc w:val="center"/>
            </w:pPr>
            <w:r>
              <w:rPr>
                <w:sz w:val="24"/>
              </w:rPr>
              <w:t xml:space="preserve">Вид ВМП</w:t>
            </w:r>
          </w:p>
        </w:tc>
        <w:tc>
          <w:tcPr>
            <w:tcW w:w="1134" w:type="dxa"/>
          </w:tcPr>
          <w:p>
            <w:pPr>
              <w:pStyle w:val="0"/>
              <w:jc w:val="center"/>
            </w:pPr>
            <w:r>
              <w:rPr>
                <w:sz w:val="24"/>
              </w:rPr>
              <w:t xml:space="preserve">Объем медицинской помощи (случай)</w:t>
            </w:r>
          </w:p>
        </w:tc>
      </w:tr>
      <w:tr>
        <w:tc>
          <w:tcPr>
            <w:tcW w:w="566" w:type="dxa"/>
          </w:tcPr>
          <w:p>
            <w:pPr>
              <w:pStyle w:val="0"/>
            </w:pPr>
            <w:r>
              <w:rPr>
                <w:sz w:val="24"/>
              </w:rPr>
            </w:r>
          </w:p>
        </w:tc>
        <w:tc>
          <w:tcPr>
            <w:tcW w:w="1304" w:type="dxa"/>
          </w:tcPr>
          <w:p>
            <w:pPr>
              <w:pStyle w:val="0"/>
            </w:pPr>
            <w:r>
              <w:rPr>
                <w:sz w:val="24"/>
              </w:rPr>
            </w:r>
          </w:p>
        </w:tc>
        <w:tc>
          <w:tcPr>
            <w:tcW w:w="2891" w:type="dxa"/>
          </w:tcPr>
          <w:p>
            <w:pPr>
              <w:pStyle w:val="0"/>
            </w:pPr>
            <w:r>
              <w:rPr>
                <w:sz w:val="24"/>
              </w:rPr>
            </w:r>
          </w:p>
        </w:tc>
        <w:tc>
          <w:tcPr>
            <w:tcW w:w="1134" w:type="dxa"/>
          </w:tcPr>
          <w:p>
            <w:pPr>
              <w:pStyle w:val="0"/>
            </w:pPr>
            <w:r>
              <w:rPr>
                <w:sz w:val="24"/>
              </w:rPr>
            </w:r>
          </w:p>
        </w:tc>
        <w:tc>
          <w:tcPr>
            <w:tcW w:w="1077" w:type="dxa"/>
          </w:tcPr>
          <w:p>
            <w:pPr>
              <w:pStyle w:val="0"/>
            </w:pPr>
            <w:r>
              <w:rPr>
                <w:sz w:val="24"/>
              </w:rPr>
            </w:r>
          </w:p>
        </w:tc>
        <w:tc>
          <w:tcPr>
            <w:tcW w:w="964" w:type="dxa"/>
          </w:tcPr>
          <w:p>
            <w:pPr>
              <w:pStyle w:val="0"/>
            </w:pPr>
            <w:r>
              <w:rPr>
                <w:sz w:val="24"/>
              </w:rPr>
            </w:r>
          </w:p>
        </w:tc>
        <w:tc>
          <w:tcPr>
            <w:tcW w:w="1134" w:type="dxa"/>
          </w:tcPr>
          <w:p>
            <w:pPr>
              <w:pStyle w:val="0"/>
            </w:pPr>
            <w:r>
              <w:rPr>
                <w:sz w:val="24"/>
              </w:rPr>
            </w:r>
          </w:p>
        </w:tc>
      </w:tr>
      <w:tr>
        <w:tc>
          <w:tcPr>
            <w:tcW w:w="566" w:type="dxa"/>
          </w:tcPr>
          <w:p>
            <w:pPr>
              <w:pStyle w:val="0"/>
            </w:pPr>
            <w:r>
              <w:rPr>
                <w:sz w:val="24"/>
              </w:rPr>
            </w:r>
          </w:p>
        </w:tc>
        <w:tc>
          <w:tcPr>
            <w:tcW w:w="1304" w:type="dxa"/>
          </w:tcPr>
          <w:p>
            <w:pPr>
              <w:pStyle w:val="0"/>
            </w:pPr>
            <w:r>
              <w:rPr>
                <w:sz w:val="24"/>
              </w:rPr>
            </w:r>
          </w:p>
        </w:tc>
        <w:tc>
          <w:tcPr>
            <w:tcW w:w="2891" w:type="dxa"/>
          </w:tcPr>
          <w:p>
            <w:pPr>
              <w:pStyle w:val="0"/>
            </w:pPr>
            <w:r>
              <w:rPr>
                <w:sz w:val="24"/>
              </w:rPr>
            </w:r>
          </w:p>
        </w:tc>
        <w:tc>
          <w:tcPr>
            <w:tcW w:w="1134" w:type="dxa"/>
          </w:tcPr>
          <w:p>
            <w:pPr>
              <w:pStyle w:val="0"/>
            </w:pPr>
            <w:r>
              <w:rPr>
                <w:sz w:val="24"/>
              </w:rPr>
            </w:r>
          </w:p>
        </w:tc>
        <w:tc>
          <w:tcPr>
            <w:tcW w:w="1077" w:type="dxa"/>
          </w:tcPr>
          <w:p>
            <w:pPr>
              <w:pStyle w:val="0"/>
            </w:pPr>
            <w:r>
              <w:rPr>
                <w:sz w:val="24"/>
              </w:rPr>
            </w:r>
          </w:p>
        </w:tc>
        <w:tc>
          <w:tcPr>
            <w:tcW w:w="964" w:type="dxa"/>
            <w:vAlign w:val="center"/>
          </w:tcPr>
          <w:p>
            <w:pPr>
              <w:pStyle w:val="0"/>
              <w:jc w:val="center"/>
            </w:pPr>
            <w:r>
              <w:rPr>
                <w:sz w:val="24"/>
              </w:rPr>
              <w:t xml:space="preserve">Всего</w:t>
            </w:r>
          </w:p>
        </w:tc>
        <w:tc>
          <w:tcPr>
            <w:tcW w:w="1134" w:type="dxa"/>
          </w:tcPr>
          <w:p>
            <w:pPr>
              <w:pStyle w:val="0"/>
            </w:pPr>
            <w:r>
              <w:rPr>
                <w:sz w:val="24"/>
              </w:rPr>
            </w:r>
          </w:p>
        </w:tc>
      </w:tr>
    </w:tbl>
    <w:p>
      <w:pPr>
        <w:pStyle w:val="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566"/>
        <w:gridCol w:w="1304"/>
        <w:gridCol w:w="2835"/>
        <w:gridCol w:w="1134"/>
        <w:gridCol w:w="1077"/>
        <w:gridCol w:w="1020"/>
        <w:gridCol w:w="1134"/>
      </w:tblGrid>
      <w:tr>
        <w:tblPrEx>
          <w:tblBorders>
            <w:left w:val="nil"/>
            <w:right w:val="nil"/>
          </w:tblBorders>
        </w:tblPrEx>
        <w:tc>
          <w:tcPr>
            <w:gridSpan w:val="7"/>
            <w:tcW w:w="9070" w:type="dxa"/>
            <w:tcBorders>
              <w:left w:val="nil"/>
              <w:right w:val="nil"/>
            </w:tcBorders>
          </w:tcPr>
          <w:p>
            <w:pPr>
              <w:pStyle w:val="0"/>
              <w:outlineLvl w:val="3"/>
              <w:ind w:firstLine="283"/>
              <w:jc w:val="both"/>
            </w:pPr>
            <w:r>
              <w:rPr>
                <w:sz w:val="24"/>
              </w:rPr>
              <w:t xml:space="preserve">Специализированная медицинская помощь. Дневной стационар. Без ВМП</w:t>
            </w:r>
          </w:p>
        </w:tc>
      </w:tr>
      <w:tr>
        <w:tc>
          <w:tcPr>
            <w:tcW w:w="566" w:type="dxa"/>
          </w:tcPr>
          <w:p>
            <w:pPr>
              <w:pStyle w:val="0"/>
              <w:jc w:val="center"/>
            </w:pPr>
            <w:r>
              <w:rPr>
                <w:sz w:val="24"/>
              </w:rPr>
              <w:t xml:space="preserve">N пп</w:t>
            </w:r>
          </w:p>
        </w:tc>
        <w:tc>
          <w:tcPr>
            <w:tcW w:w="1304" w:type="dxa"/>
          </w:tcPr>
          <w:p>
            <w:pPr>
              <w:pStyle w:val="0"/>
              <w:jc w:val="center"/>
            </w:pPr>
            <w:r>
              <w:rPr>
                <w:sz w:val="24"/>
              </w:rPr>
              <w:t xml:space="preserve">Адрес оказания медицинской помощи</w:t>
            </w:r>
          </w:p>
        </w:tc>
        <w:tc>
          <w:tcPr>
            <w:tcW w:w="2835" w:type="dxa"/>
          </w:tcPr>
          <w:p>
            <w:pPr>
              <w:pStyle w:val="0"/>
              <w:jc w:val="center"/>
            </w:pPr>
            <w:r>
              <w:rPr>
                <w:sz w:val="24"/>
              </w:rPr>
              <w:t xml:space="preserve">Краткое наименование структурного подразделения (обособленного структурного подразделения)</w:t>
            </w:r>
          </w:p>
        </w:tc>
        <w:tc>
          <w:tcPr>
            <w:tcW w:w="1134" w:type="dxa"/>
          </w:tcPr>
          <w:p>
            <w:pPr>
              <w:pStyle w:val="0"/>
              <w:jc w:val="center"/>
            </w:pPr>
            <w:r>
              <w:rPr>
                <w:sz w:val="24"/>
              </w:rPr>
              <w:t xml:space="preserve">Профиль медицинской помощи</w:t>
            </w:r>
          </w:p>
        </w:tc>
        <w:tc>
          <w:tcPr>
            <w:tcW w:w="1077" w:type="dxa"/>
          </w:tcPr>
          <w:p>
            <w:pPr>
              <w:pStyle w:val="0"/>
              <w:jc w:val="center"/>
            </w:pPr>
            <w:r>
              <w:rPr>
                <w:sz w:val="24"/>
              </w:rPr>
              <w:t xml:space="preserve">Клинико-профильная группа (КПГ) (Код - Наименование)</w:t>
            </w:r>
          </w:p>
        </w:tc>
        <w:tc>
          <w:tcPr>
            <w:tcW w:w="1020" w:type="dxa"/>
          </w:tcPr>
          <w:p>
            <w:pPr>
              <w:pStyle w:val="0"/>
              <w:jc w:val="center"/>
            </w:pPr>
            <w:r>
              <w:rPr>
                <w:sz w:val="24"/>
              </w:rPr>
              <w:t xml:space="preserve">Клинико-статистическая группа (КСГ) (Код - Наименование)</w:t>
            </w:r>
          </w:p>
        </w:tc>
        <w:tc>
          <w:tcPr>
            <w:tcW w:w="1134" w:type="dxa"/>
          </w:tcPr>
          <w:p>
            <w:pPr>
              <w:pStyle w:val="0"/>
              <w:jc w:val="center"/>
            </w:pPr>
            <w:r>
              <w:rPr>
                <w:sz w:val="24"/>
              </w:rPr>
              <w:t xml:space="preserve">Объем медицинской помощи (случай)</w:t>
            </w:r>
          </w:p>
        </w:tc>
      </w:tr>
      <w:tr>
        <w:tc>
          <w:tcPr>
            <w:tcW w:w="566" w:type="dxa"/>
          </w:tcPr>
          <w:p>
            <w:pPr>
              <w:pStyle w:val="0"/>
            </w:pPr>
            <w:r>
              <w:rPr>
                <w:sz w:val="24"/>
              </w:rPr>
            </w:r>
          </w:p>
        </w:tc>
        <w:tc>
          <w:tcPr>
            <w:tcW w:w="1304" w:type="dxa"/>
          </w:tcPr>
          <w:p>
            <w:pPr>
              <w:pStyle w:val="0"/>
            </w:pPr>
            <w:r>
              <w:rPr>
                <w:sz w:val="24"/>
              </w:rPr>
            </w:r>
          </w:p>
        </w:tc>
        <w:tc>
          <w:tcPr>
            <w:tcW w:w="2835" w:type="dxa"/>
          </w:tcPr>
          <w:p>
            <w:pPr>
              <w:pStyle w:val="0"/>
            </w:pPr>
            <w:r>
              <w:rPr>
                <w:sz w:val="24"/>
              </w:rPr>
            </w:r>
          </w:p>
        </w:tc>
        <w:tc>
          <w:tcPr>
            <w:tcW w:w="1134" w:type="dxa"/>
          </w:tcPr>
          <w:p>
            <w:pPr>
              <w:pStyle w:val="0"/>
            </w:pPr>
            <w:r>
              <w:rPr>
                <w:sz w:val="24"/>
              </w:rPr>
            </w:r>
          </w:p>
        </w:tc>
        <w:tc>
          <w:tcPr>
            <w:tcW w:w="1077" w:type="dxa"/>
          </w:tcPr>
          <w:p>
            <w:pPr>
              <w:pStyle w:val="0"/>
            </w:pPr>
            <w:r>
              <w:rPr>
                <w:sz w:val="24"/>
              </w:rPr>
            </w:r>
          </w:p>
        </w:tc>
        <w:tc>
          <w:tcPr>
            <w:tcW w:w="1020" w:type="dxa"/>
          </w:tcPr>
          <w:p>
            <w:pPr>
              <w:pStyle w:val="0"/>
            </w:pPr>
            <w:r>
              <w:rPr>
                <w:sz w:val="24"/>
              </w:rPr>
            </w:r>
          </w:p>
        </w:tc>
        <w:tc>
          <w:tcPr>
            <w:tcW w:w="1134" w:type="dxa"/>
          </w:tcPr>
          <w:p>
            <w:pPr>
              <w:pStyle w:val="0"/>
            </w:pPr>
            <w:r>
              <w:rPr>
                <w:sz w:val="24"/>
              </w:rPr>
            </w:r>
          </w:p>
        </w:tc>
      </w:tr>
      <w:tr>
        <w:tc>
          <w:tcPr>
            <w:tcW w:w="566" w:type="dxa"/>
          </w:tcPr>
          <w:p>
            <w:pPr>
              <w:pStyle w:val="0"/>
            </w:pPr>
            <w:r>
              <w:rPr>
                <w:sz w:val="24"/>
              </w:rPr>
            </w:r>
          </w:p>
        </w:tc>
        <w:tc>
          <w:tcPr>
            <w:tcW w:w="1304" w:type="dxa"/>
          </w:tcPr>
          <w:p>
            <w:pPr>
              <w:pStyle w:val="0"/>
            </w:pPr>
            <w:r>
              <w:rPr>
                <w:sz w:val="24"/>
              </w:rPr>
            </w:r>
          </w:p>
        </w:tc>
        <w:tc>
          <w:tcPr>
            <w:tcW w:w="2835" w:type="dxa"/>
          </w:tcPr>
          <w:p>
            <w:pPr>
              <w:pStyle w:val="0"/>
            </w:pPr>
            <w:r>
              <w:rPr>
                <w:sz w:val="24"/>
              </w:rPr>
            </w:r>
          </w:p>
        </w:tc>
        <w:tc>
          <w:tcPr>
            <w:tcW w:w="1134" w:type="dxa"/>
          </w:tcPr>
          <w:p>
            <w:pPr>
              <w:pStyle w:val="0"/>
            </w:pPr>
            <w:r>
              <w:rPr>
                <w:sz w:val="24"/>
              </w:rPr>
            </w:r>
          </w:p>
        </w:tc>
        <w:tc>
          <w:tcPr>
            <w:tcW w:w="1077" w:type="dxa"/>
          </w:tcPr>
          <w:p>
            <w:pPr>
              <w:pStyle w:val="0"/>
            </w:pPr>
            <w:r>
              <w:rPr>
                <w:sz w:val="24"/>
              </w:rPr>
            </w:r>
          </w:p>
        </w:tc>
        <w:tc>
          <w:tcPr>
            <w:tcW w:w="1020" w:type="dxa"/>
            <w:vAlign w:val="center"/>
          </w:tcPr>
          <w:p>
            <w:pPr>
              <w:pStyle w:val="0"/>
              <w:jc w:val="center"/>
            </w:pPr>
            <w:r>
              <w:rPr>
                <w:sz w:val="24"/>
              </w:rPr>
              <w:t xml:space="preserve">Всего</w:t>
            </w:r>
          </w:p>
        </w:tc>
        <w:tc>
          <w:tcPr>
            <w:tcW w:w="1134" w:type="dxa"/>
          </w:tcPr>
          <w:p>
            <w:pPr>
              <w:pStyle w:val="0"/>
            </w:pPr>
            <w:r>
              <w:rPr>
                <w:sz w:val="24"/>
              </w:rPr>
            </w:r>
          </w:p>
        </w:tc>
      </w:tr>
    </w:tbl>
    <w:p>
      <w:pPr>
        <w:pStyle w:val="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566"/>
        <w:gridCol w:w="1304"/>
        <w:gridCol w:w="2891"/>
        <w:gridCol w:w="1134"/>
        <w:gridCol w:w="1077"/>
        <w:gridCol w:w="964"/>
        <w:gridCol w:w="1134"/>
      </w:tblGrid>
      <w:tr>
        <w:tblPrEx>
          <w:tblBorders>
            <w:left w:val="nil"/>
            <w:right w:val="nil"/>
          </w:tblBorders>
        </w:tblPrEx>
        <w:tc>
          <w:tcPr>
            <w:gridSpan w:val="7"/>
            <w:tcW w:w="9070" w:type="dxa"/>
            <w:tcBorders>
              <w:left w:val="nil"/>
              <w:right w:val="nil"/>
            </w:tcBorders>
          </w:tcPr>
          <w:p>
            <w:pPr>
              <w:pStyle w:val="0"/>
              <w:outlineLvl w:val="3"/>
              <w:ind w:firstLine="283"/>
              <w:jc w:val="both"/>
            </w:pPr>
            <w:r>
              <w:rPr>
                <w:sz w:val="24"/>
              </w:rPr>
              <w:t xml:space="preserve">Специализированная медицинская помощь. Дневной стационар. ВМП</w:t>
            </w:r>
          </w:p>
        </w:tc>
      </w:tr>
      <w:tr>
        <w:tc>
          <w:tcPr>
            <w:tcW w:w="566" w:type="dxa"/>
          </w:tcPr>
          <w:p>
            <w:pPr>
              <w:pStyle w:val="0"/>
              <w:jc w:val="center"/>
            </w:pPr>
            <w:r>
              <w:rPr>
                <w:sz w:val="24"/>
              </w:rPr>
              <w:t xml:space="preserve">N пп</w:t>
            </w:r>
          </w:p>
        </w:tc>
        <w:tc>
          <w:tcPr>
            <w:tcW w:w="1304" w:type="dxa"/>
          </w:tcPr>
          <w:p>
            <w:pPr>
              <w:pStyle w:val="0"/>
              <w:jc w:val="center"/>
            </w:pPr>
            <w:r>
              <w:rPr>
                <w:sz w:val="24"/>
              </w:rPr>
              <w:t xml:space="preserve">Адрес оказания медицинской помощи</w:t>
            </w:r>
          </w:p>
        </w:tc>
        <w:tc>
          <w:tcPr>
            <w:tcW w:w="2891" w:type="dxa"/>
          </w:tcPr>
          <w:p>
            <w:pPr>
              <w:pStyle w:val="0"/>
              <w:jc w:val="center"/>
            </w:pPr>
            <w:r>
              <w:rPr>
                <w:sz w:val="24"/>
              </w:rPr>
              <w:t xml:space="preserve">Краткое наименование структурного подразделения (обособленного структурного подразделения)</w:t>
            </w:r>
          </w:p>
        </w:tc>
        <w:tc>
          <w:tcPr>
            <w:tcW w:w="1134" w:type="dxa"/>
          </w:tcPr>
          <w:p>
            <w:pPr>
              <w:pStyle w:val="0"/>
              <w:jc w:val="center"/>
            </w:pPr>
            <w:r>
              <w:rPr>
                <w:sz w:val="24"/>
              </w:rPr>
              <w:t xml:space="preserve">Профиль медицинской помощи</w:t>
            </w:r>
          </w:p>
        </w:tc>
        <w:tc>
          <w:tcPr>
            <w:tcW w:w="1077" w:type="dxa"/>
          </w:tcPr>
          <w:p>
            <w:pPr>
              <w:pStyle w:val="0"/>
              <w:jc w:val="center"/>
            </w:pPr>
            <w:r>
              <w:rPr>
                <w:sz w:val="24"/>
              </w:rPr>
              <w:t xml:space="preserve">Номер группы ВМП</w:t>
            </w:r>
          </w:p>
        </w:tc>
        <w:tc>
          <w:tcPr>
            <w:tcW w:w="964" w:type="dxa"/>
          </w:tcPr>
          <w:p>
            <w:pPr>
              <w:pStyle w:val="0"/>
              <w:jc w:val="center"/>
            </w:pPr>
            <w:r>
              <w:rPr>
                <w:sz w:val="24"/>
              </w:rPr>
              <w:t xml:space="preserve">Вид ВМП</w:t>
            </w:r>
          </w:p>
        </w:tc>
        <w:tc>
          <w:tcPr>
            <w:tcW w:w="1134" w:type="dxa"/>
          </w:tcPr>
          <w:p>
            <w:pPr>
              <w:pStyle w:val="0"/>
              <w:jc w:val="center"/>
            </w:pPr>
            <w:r>
              <w:rPr>
                <w:sz w:val="24"/>
              </w:rPr>
              <w:t xml:space="preserve">Объем медицинской помощи (случай)</w:t>
            </w:r>
          </w:p>
        </w:tc>
      </w:tr>
      <w:tr>
        <w:tc>
          <w:tcPr>
            <w:tcW w:w="566" w:type="dxa"/>
          </w:tcPr>
          <w:p>
            <w:pPr>
              <w:pStyle w:val="0"/>
            </w:pPr>
            <w:r>
              <w:rPr>
                <w:sz w:val="24"/>
              </w:rPr>
            </w:r>
          </w:p>
        </w:tc>
        <w:tc>
          <w:tcPr>
            <w:tcW w:w="1304" w:type="dxa"/>
          </w:tcPr>
          <w:p>
            <w:pPr>
              <w:pStyle w:val="0"/>
            </w:pPr>
            <w:r>
              <w:rPr>
                <w:sz w:val="24"/>
              </w:rPr>
            </w:r>
          </w:p>
        </w:tc>
        <w:tc>
          <w:tcPr>
            <w:tcW w:w="2891" w:type="dxa"/>
          </w:tcPr>
          <w:p>
            <w:pPr>
              <w:pStyle w:val="0"/>
            </w:pPr>
            <w:r>
              <w:rPr>
                <w:sz w:val="24"/>
              </w:rPr>
            </w:r>
          </w:p>
        </w:tc>
        <w:tc>
          <w:tcPr>
            <w:tcW w:w="1134" w:type="dxa"/>
          </w:tcPr>
          <w:p>
            <w:pPr>
              <w:pStyle w:val="0"/>
            </w:pPr>
            <w:r>
              <w:rPr>
                <w:sz w:val="24"/>
              </w:rPr>
            </w:r>
          </w:p>
        </w:tc>
        <w:tc>
          <w:tcPr>
            <w:tcW w:w="1077" w:type="dxa"/>
          </w:tcPr>
          <w:p>
            <w:pPr>
              <w:pStyle w:val="0"/>
            </w:pPr>
            <w:r>
              <w:rPr>
                <w:sz w:val="24"/>
              </w:rPr>
            </w:r>
          </w:p>
        </w:tc>
        <w:tc>
          <w:tcPr>
            <w:tcW w:w="964" w:type="dxa"/>
          </w:tcPr>
          <w:p>
            <w:pPr>
              <w:pStyle w:val="0"/>
            </w:pPr>
            <w:r>
              <w:rPr>
                <w:sz w:val="24"/>
              </w:rPr>
            </w:r>
          </w:p>
        </w:tc>
        <w:tc>
          <w:tcPr>
            <w:tcW w:w="1134" w:type="dxa"/>
          </w:tcPr>
          <w:p>
            <w:pPr>
              <w:pStyle w:val="0"/>
            </w:pPr>
            <w:r>
              <w:rPr>
                <w:sz w:val="24"/>
              </w:rPr>
            </w:r>
          </w:p>
        </w:tc>
      </w:tr>
      <w:tr>
        <w:tc>
          <w:tcPr>
            <w:tcW w:w="566" w:type="dxa"/>
          </w:tcPr>
          <w:p>
            <w:pPr>
              <w:pStyle w:val="0"/>
            </w:pPr>
            <w:r>
              <w:rPr>
                <w:sz w:val="24"/>
              </w:rPr>
            </w:r>
          </w:p>
        </w:tc>
        <w:tc>
          <w:tcPr>
            <w:tcW w:w="1304" w:type="dxa"/>
          </w:tcPr>
          <w:p>
            <w:pPr>
              <w:pStyle w:val="0"/>
            </w:pPr>
            <w:r>
              <w:rPr>
                <w:sz w:val="24"/>
              </w:rPr>
            </w:r>
          </w:p>
        </w:tc>
        <w:tc>
          <w:tcPr>
            <w:tcW w:w="2891" w:type="dxa"/>
          </w:tcPr>
          <w:p>
            <w:pPr>
              <w:pStyle w:val="0"/>
            </w:pPr>
            <w:r>
              <w:rPr>
                <w:sz w:val="24"/>
              </w:rPr>
            </w:r>
          </w:p>
        </w:tc>
        <w:tc>
          <w:tcPr>
            <w:tcW w:w="1134" w:type="dxa"/>
          </w:tcPr>
          <w:p>
            <w:pPr>
              <w:pStyle w:val="0"/>
            </w:pPr>
            <w:r>
              <w:rPr>
                <w:sz w:val="24"/>
              </w:rPr>
            </w:r>
          </w:p>
        </w:tc>
        <w:tc>
          <w:tcPr>
            <w:tcW w:w="1077" w:type="dxa"/>
          </w:tcPr>
          <w:p>
            <w:pPr>
              <w:pStyle w:val="0"/>
            </w:pPr>
            <w:r>
              <w:rPr>
                <w:sz w:val="24"/>
              </w:rPr>
            </w:r>
          </w:p>
        </w:tc>
        <w:tc>
          <w:tcPr>
            <w:tcW w:w="964" w:type="dxa"/>
            <w:vAlign w:val="center"/>
          </w:tcPr>
          <w:p>
            <w:pPr>
              <w:pStyle w:val="0"/>
              <w:jc w:val="center"/>
            </w:pPr>
            <w:r>
              <w:rPr>
                <w:sz w:val="24"/>
              </w:rPr>
              <w:t xml:space="preserve">Всего</w:t>
            </w:r>
          </w:p>
        </w:tc>
        <w:tc>
          <w:tcPr>
            <w:tcW w:w="1134" w:type="dxa"/>
          </w:tcPr>
          <w:p>
            <w:pPr>
              <w:pStyle w:val="0"/>
            </w:pPr>
            <w:r>
              <w:rPr>
                <w:sz w:val="24"/>
              </w:rPr>
            </w:r>
          </w:p>
        </w:tc>
      </w:tr>
    </w:tbl>
    <w:p>
      <w:pPr>
        <w:pStyle w:val="0"/>
        <w:jc w:val="both"/>
      </w:pPr>
      <w:r>
        <w:rPr>
          <w:sz w:val="24"/>
        </w:rPr>
      </w:r>
    </w:p>
    <w:p>
      <w:pPr>
        <w:sectPr>
          <w:headerReference w:type="default" r:id="rId6"/>
          <w:headerReference w:type="first" r:id="rId6"/>
          <w:footerReference w:type="default" r:id="rId7"/>
          <w:footerReference w:type="first" r:id="rId7"/>
          <w:pgSz w:w="11906" w:h="16838"/>
          <w:pgMar w:top="1440" w:right="566" w:bottom="1440" w:left="1133" w:header="0" w:footer="0" w:gutter="0"/>
          <w:titlePg/>
        </w:sectPr>
      </w:pP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571"/>
        <w:gridCol w:w="1002"/>
        <w:gridCol w:w="1002"/>
        <w:gridCol w:w="1002"/>
        <w:gridCol w:w="1002"/>
        <w:gridCol w:w="1002"/>
        <w:gridCol w:w="1002"/>
        <w:gridCol w:w="1002"/>
        <w:gridCol w:w="1002"/>
        <w:gridCol w:w="1002"/>
        <w:gridCol w:w="1002"/>
        <w:gridCol w:w="1002"/>
        <w:gridCol w:w="1002"/>
        <w:gridCol w:w="1008"/>
      </w:tblGrid>
      <w:tr>
        <w:tblPrEx>
          <w:tblBorders>
            <w:left w:val="nil"/>
            <w:right w:val="nil"/>
          </w:tblBorders>
        </w:tblPrEx>
        <w:tc>
          <w:tcPr>
            <w:gridSpan w:val="14"/>
            <w:tcW w:w="13603" w:type="dxa"/>
            <w:tcBorders>
              <w:left w:val="nil"/>
              <w:right w:val="nil"/>
            </w:tcBorders>
          </w:tcPr>
          <w:p>
            <w:pPr>
              <w:pStyle w:val="0"/>
              <w:outlineLvl w:val="3"/>
              <w:ind w:firstLine="283"/>
              <w:jc w:val="both"/>
            </w:pPr>
            <w:r>
              <w:rPr>
                <w:sz w:val="24"/>
              </w:rPr>
              <w:t xml:space="preserve">Первичная медико-санитарная помощь. Амбулаторно. Посещения</w:t>
            </w:r>
          </w:p>
        </w:tc>
      </w:tr>
      <w:tr>
        <w:tc>
          <w:tcPr>
            <w:tcW w:w="571" w:type="dxa"/>
          </w:tcPr>
          <w:p>
            <w:pPr>
              <w:pStyle w:val="0"/>
              <w:jc w:val="center"/>
            </w:pPr>
            <w:r>
              <w:rPr>
                <w:sz w:val="24"/>
              </w:rPr>
              <w:t xml:space="preserve">N пп</w:t>
            </w:r>
          </w:p>
        </w:tc>
        <w:tc>
          <w:tcPr>
            <w:tcW w:w="1002" w:type="dxa"/>
          </w:tcPr>
          <w:p>
            <w:pPr>
              <w:pStyle w:val="0"/>
              <w:jc w:val="center"/>
            </w:pPr>
            <w:r>
              <w:rPr>
                <w:sz w:val="24"/>
              </w:rPr>
              <w:t xml:space="preserve">Адрес оказания медицинской помощи</w:t>
            </w:r>
          </w:p>
        </w:tc>
        <w:tc>
          <w:tcPr>
            <w:tcW w:w="1002" w:type="dxa"/>
          </w:tcPr>
          <w:p>
            <w:pPr>
              <w:pStyle w:val="0"/>
              <w:jc w:val="center"/>
            </w:pPr>
            <w:r>
              <w:rPr>
                <w:sz w:val="24"/>
              </w:rPr>
              <w:t xml:space="preserve">Краткое наименование структурного подразделения (обособленного структурного подразделения)</w:t>
            </w:r>
          </w:p>
        </w:tc>
        <w:tc>
          <w:tcPr>
            <w:tcW w:w="1002" w:type="dxa"/>
          </w:tcPr>
          <w:p>
            <w:pPr>
              <w:pStyle w:val="0"/>
              <w:jc w:val="center"/>
            </w:pPr>
            <w:r>
              <w:rPr>
                <w:sz w:val="24"/>
              </w:rPr>
              <w:t xml:space="preserve">Профиль медицинской помощи</w:t>
            </w:r>
          </w:p>
        </w:tc>
        <w:tc>
          <w:tcPr>
            <w:tcW w:w="1002" w:type="dxa"/>
          </w:tcPr>
          <w:p>
            <w:pPr>
              <w:pStyle w:val="0"/>
              <w:jc w:val="center"/>
            </w:pPr>
            <w:r>
              <w:rPr>
                <w:sz w:val="24"/>
              </w:rPr>
              <w:t xml:space="preserve">Наименование врача-специалиста</w:t>
            </w:r>
          </w:p>
        </w:tc>
        <w:tc>
          <w:tcPr>
            <w:tcW w:w="1002" w:type="dxa"/>
          </w:tcPr>
          <w:p>
            <w:pPr>
              <w:pStyle w:val="0"/>
              <w:jc w:val="center"/>
            </w:pPr>
            <w:r>
              <w:rPr>
                <w:sz w:val="24"/>
              </w:rPr>
              <w:t xml:space="preserve">Посещений, всего</w:t>
            </w:r>
          </w:p>
        </w:tc>
        <w:tc>
          <w:tcPr>
            <w:tcW w:w="1002" w:type="dxa"/>
          </w:tcPr>
          <w:p>
            <w:pPr>
              <w:pStyle w:val="0"/>
              <w:jc w:val="center"/>
            </w:pPr>
            <w:r>
              <w:rPr>
                <w:sz w:val="24"/>
              </w:rPr>
              <w:t xml:space="preserve">Посещений по паллиативной помощи, всего</w:t>
            </w:r>
          </w:p>
        </w:tc>
        <w:tc>
          <w:tcPr>
            <w:tcW w:w="1002" w:type="dxa"/>
          </w:tcPr>
          <w:p>
            <w:pPr>
              <w:pStyle w:val="0"/>
              <w:jc w:val="center"/>
            </w:pPr>
            <w:r>
              <w:rPr>
                <w:sz w:val="24"/>
              </w:rPr>
              <w:t xml:space="preserve">Посещений на дому патронажными бригадами</w:t>
            </w:r>
          </w:p>
        </w:tc>
        <w:tc>
          <w:tcPr>
            <w:tcW w:w="1002" w:type="dxa"/>
          </w:tcPr>
          <w:p>
            <w:pPr>
              <w:pStyle w:val="0"/>
              <w:jc w:val="center"/>
            </w:pPr>
            <w:r>
              <w:rPr>
                <w:sz w:val="24"/>
              </w:rPr>
              <w:t xml:space="preserve">Посещения по паллиативной медицинской помощи без учета посещений на дому патронажными бригадами</w:t>
            </w:r>
          </w:p>
        </w:tc>
        <w:tc>
          <w:tcPr>
            <w:tcW w:w="1002" w:type="dxa"/>
          </w:tcPr>
          <w:p>
            <w:pPr>
              <w:pStyle w:val="0"/>
              <w:jc w:val="center"/>
            </w:pPr>
            <w:r>
              <w:rPr>
                <w:sz w:val="24"/>
              </w:rPr>
              <w:t xml:space="preserve">Посещения с иными целями</w:t>
            </w:r>
          </w:p>
        </w:tc>
        <w:tc>
          <w:tcPr>
            <w:tcW w:w="1002" w:type="dxa"/>
          </w:tcPr>
          <w:p>
            <w:pPr>
              <w:pStyle w:val="0"/>
              <w:jc w:val="center"/>
            </w:pPr>
            <w:r>
              <w:rPr>
                <w:sz w:val="24"/>
              </w:rPr>
              <w:t xml:space="preserve">Посещения по неотложной помощи</w:t>
            </w:r>
          </w:p>
        </w:tc>
        <w:tc>
          <w:tcPr>
            <w:tcW w:w="1002" w:type="dxa"/>
          </w:tcPr>
          <w:p>
            <w:pPr>
              <w:pStyle w:val="0"/>
              <w:jc w:val="center"/>
            </w:pPr>
            <w:r>
              <w:rPr>
                <w:sz w:val="24"/>
              </w:rPr>
              <w:t xml:space="preserve">Гемодиализ</w:t>
            </w:r>
          </w:p>
        </w:tc>
        <w:tc>
          <w:tcPr>
            <w:tcW w:w="1002" w:type="dxa"/>
          </w:tcPr>
          <w:p>
            <w:pPr>
              <w:pStyle w:val="0"/>
              <w:jc w:val="center"/>
            </w:pPr>
            <w:r>
              <w:rPr>
                <w:sz w:val="24"/>
              </w:rPr>
              <w:t xml:space="preserve">Количество иных целей</w:t>
            </w:r>
          </w:p>
        </w:tc>
        <w:tc>
          <w:tcPr>
            <w:tcW w:w="1008" w:type="dxa"/>
          </w:tcPr>
          <w:p>
            <w:pPr>
              <w:pStyle w:val="0"/>
              <w:jc w:val="center"/>
            </w:pPr>
            <w:r>
              <w:rPr>
                <w:sz w:val="24"/>
              </w:rPr>
              <w:t xml:space="preserve">Обращения</w:t>
            </w:r>
          </w:p>
        </w:tc>
      </w:tr>
      <w:tr>
        <w:tc>
          <w:tcPr>
            <w:tcW w:w="571" w:type="dxa"/>
          </w:tcPr>
          <w:p>
            <w:pPr>
              <w:pStyle w:val="0"/>
            </w:pPr>
            <w:r>
              <w:rPr>
                <w:sz w:val="24"/>
              </w:rPr>
            </w:r>
          </w:p>
        </w:tc>
        <w:tc>
          <w:tcPr>
            <w:tcW w:w="1002" w:type="dxa"/>
          </w:tcPr>
          <w:p>
            <w:pPr>
              <w:pStyle w:val="0"/>
            </w:pPr>
            <w:r>
              <w:rPr>
                <w:sz w:val="24"/>
              </w:rPr>
            </w:r>
          </w:p>
        </w:tc>
        <w:tc>
          <w:tcPr>
            <w:tcW w:w="1002" w:type="dxa"/>
          </w:tcPr>
          <w:p>
            <w:pPr>
              <w:pStyle w:val="0"/>
            </w:pPr>
            <w:r>
              <w:rPr>
                <w:sz w:val="24"/>
              </w:rPr>
            </w:r>
          </w:p>
        </w:tc>
        <w:tc>
          <w:tcPr>
            <w:tcW w:w="1002" w:type="dxa"/>
          </w:tcPr>
          <w:p>
            <w:pPr>
              <w:pStyle w:val="0"/>
            </w:pPr>
            <w:r>
              <w:rPr>
                <w:sz w:val="24"/>
              </w:rPr>
            </w:r>
          </w:p>
        </w:tc>
        <w:tc>
          <w:tcPr>
            <w:tcW w:w="1002" w:type="dxa"/>
          </w:tcPr>
          <w:p>
            <w:pPr>
              <w:pStyle w:val="0"/>
            </w:pPr>
            <w:r>
              <w:rPr>
                <w:sz w:val="24"/>
              </w:rPr>
            </w:r>
          </w:p>
        </w:tc>
        <w:tc>
          <w:tcPr>
            <w:tcW w:w="1002" w:type="dxa"/>
          </w:tcPr>
          <w:p>
            <w:pPr>
              <w:pStyle w:val="0"/>
            </w:pPr>
            <w:r>
              <w:rPr>
                <w:sz w:val="24"/>
              </w:rPr>
            </w:r>
          </w:p>
        </w:tc>
        <w:tc>
          <w:tcPr>
            <w:tcW w:w="1002" w:type="dxa"/>
          </w:tcPr>
          <w:p>
            <w:pPr>
              <w:pStyle w:val="0"/>
            </w:pPr>
            <w:r>
              <w:rPr>
                <w:sz w:val="24"/>
              </w:rPr>
            </w:r>
          </w:p>
        </w:tc>
        <w:tc>
          <w:tcPr>
            <w:tcW w:w="1002" w:type="dxa"/>
          </w:tcPr>
          <w:p>
            <w:pPr>
              <w:pStyle w:val="0"/>
            </w:pPr>
            <w:r>
              <w:rPr>
                <w:sz w:val="24"/>
              </w:rPr>
            </w:r>
          </w:p>
        </w:tc>
        <w:tc>
          <w:tcPr>
            <w:tcW w:w="1002" w:type="dxa"/>
          </w:tcPr>
          <w:p>
            <w:pPr>
              <w:pStyle w:val="0"/>
            </w:pPr>
            <w:r>
              <w:rPr>
                <w:sz w:val="24"/>
              </w:rPr>
            </w:r>
          </w:p>
        </w:tc>
        <w:tc>
          <w:tcPr>
            <w:tcW w:w="1002" w:type="dxa"/>
          </w:tcPr>
          <w:p>
            <w:pPr>
              <w:pStyle w:val="0"/>
            </w:pPr>
            <w:r>
              <w:rPr>
                <w:sz w:val="24"/>
              </w:rPr>
            </w:r>
          </w:p>
        </w:tc>
        <w:tc>
          <w:tcPr>
            <w:tcW w:w="1002" w:type="dxa"/>
          </w:tcPr>
          <w:p>
            <w:pPr>
              <w:pStyle w:val="0"/>
            </w:pPr>
            <w:r>
              <w:rPr>
                <w:sz w:val="24"/>
              </w:rPr>
            </w:r>
          </w:p>
        </w:tc>
        <w:tc>
          <w:tcPr>
            <w:tcW w:w="1002" w:type="dxa"/>
          </w:tcPr>
          <w:p>
            <w:pPr>
              <w:pStyle w:val="0"/>
            </w:pPr>
            <w:r>
              <w:rPr>
                <w:sz w:val="24"/>
              </w:rPr>
            </w:r>
          </w:p>
        </w:tc>
        <w:tc>
          <w:tcPr>
            <w:tcW w:w="1002" w:type="dxa"/>
          </w:tcPr>
          <w:p>
            <w:pPr>
              <w:pStyle w:val="0"/>
            </w:pPr>
            <w:r>
              <w:rPr>
                <w:sz w:val="24"/>
              </w:rPr>
            </w:r>
          </w:p>
        </w:tc>
        <w:tc>
          <w:tcPr>
            <w:tcW w:w="1008" w:type="dxa"/>
          </w:tcPr>
          <w:p>
            <w:pPr>
              <w:pStyle w:val="0"/>
            </w:pPr>
            <w:r>
              <w:rPr>
                <w:sz w:val="24"/>
              </w:rPr>
            </w:r>
          </w:p>
        </w:tc>
      </w:tr>
      <w:tr>
        <w:tc>
          <w:tcPr>
            <w:tcW w:w="571" w:type="dxa"/>
          </w:tcPr>
          <w:p>
            <w:pPr>
              <w:pStyle w:val="0"/>
            </w:pPr>
            <w:r>
              <w:rPr>
                <w:sz w:val="24"/>
              </w:rPr>
            </w:r>
          </w:p>
        </w:tc>
        <w:tc>
          <w:tcPr>
            <w:tcW w:w="1002" w:type="dxa"/>
          </w:tcPr>
          <w:p>
            <w:pPr>
              <w:pStyle w:val="0"/>
            </w:pPr>
            <w:r>
              <w:rPr>
                <w:sz w:val="24"/>
              </w:rPr>
            </w:r>
          </w:p>
        </w:tc>
        <w:tc>
          <w:tcPr>
            <w:tcW w:w="1002" w:type="dxa"/>
          </w:tcPr>
          <w:p>
            <w:pPr>
              <w:pStyle w:val="0"/>
            </w:pPr>
            <w:r>
              <w:rPr>
                <w:sz w:val="24"/>
              </w:rPr>
            </w:r>
          </w:p>
        </w:tc>
        <w:tc>
          <w:tcPr>
            <w:tcW w:w="1002" w:type="dxa"/>
          </w:tcPr>
          <w:p>
            <w:pPr>
              <w:pStyle w:val="0"/>
            </w:pPr>
            <w:r>
              <w:rPr>
                <w:sz w:val="24"/>
              </w:rPr>
            </w:r>
          </w:p>
        </w:tc>
        <w:tc>
          <w:tcPr>
            <w:tcW w:w="1002" w:type="dxa"/>
            <w:vAlign w:val="center"/>
          </w:tcPr>
          <w:p>
            <w:pPr>
              <w:pStyle w:val="0"/>
              <w:jc w:val="center"/>
            </w:pPr>
            <w:r>
              <w:rPr>
                <w:sz w:val="24"/>
              </w:rPr>
              <w:t xml:space="preserve">Всего</w:t>
            </w:r>
          </w:p>
        </w:tc>
        <w:tc>
          <w:tcPr>
            <w:tcW w:w="1002" w:type="dxa"/>
          </w:tcPr>
          <w:p>
            <w:pPr>
              <w:pStyle w:val="0"/>
            </w:pPr>
            <w:r>
              <w:rPr>
                <w:sz w:val="24"/>
              </w:rPr>
            </w:r>
          </w:p>
        </w:tc>
        <w:tc>
          <w:tcPr>
            <w:tcW w:w="1002" w:type="dxa"/>
          </w:tcPr>
          <w:p>
            <w:pPr>
              <w:pStyle w:val="0"/>
            </w:pPr>
            <w:r>
              <w:rPr>
                <w:sz w:val="24"/>
              </w:rPr>
            </w:r>
          </w:p>
        </w:tc>
        <w:tc>
          <w:tcPr>
            <w:tcW w:w="1002" w:type="dxa"/>
          </w:tcPr>
          <w:p>
            <w:pPr>
              <w:pStyle w:val="0"/>
            </w:pPr>
            <w:r>
              <w:rPr>
                <w:sz w:val="24"/>
              </w:rPr>
            </w:r>
          </w:p>
        </w:tc>
        <w:tc>
          <w:tcPr>
            <w:tcW w:w="1002" w:type="dxa"/>
          </w:tcPr>
          <w:p>
            <w:pPr>
              <w:pStyle w:val="0"/>
            </w:pPr>
            <w:r>
              <w:rPr>
                <w:sz w:val="24"/>
              </w:rPr>
            </w:r>
          </w:p>
        </w:tc>
        <w:tc>
          <w:tcPr>
            <w:tcW w:w="1002" w:type="dxa"/>
          </w:tcPr>
          <w:p>
            <w:pPr>
              <w:pStyle w:val="0"/>
            </w:pPr>
            <w:r>
              <w:rPr>
                <w:sz w:val="24"/>
              </w:rPr>
            </w:r>
          </w:p>
        </w:tc>
        <w:tc>
          <w:tcPr>
            <w:tcW w:w="1002" w:type="dxa"/>
          </w:tcPr>
          <w:p>
            <w:pPr>
              <w:pStyle w:val="0"/>
            </w:pPr>
            <w:r>
              <w:rPr>
                <w:sz w:val="24"/>
              </w:rPr>
            </w:r>
          </w:p>
        </w:tc>
        <w:tc>
          <w:tcPr>
            <w:tcW w:w="1002" w:type="dxa"/>
          </w:tcPr>
          <w:p>
            <w:pPr>
              <w:pStyle w:val="0"/>
            </w:pPr>
            <w:r>
              <w:rPr>
                <w:sz w:val="24"/>
              </w:rPr>
            </w:r>
          </w:p>
        </w:tc>
        <w:tc>
          <w:tcPr>
            <w:tcW w:w="1002" w:type="dxa"/>
          </w:tcPr>
          <w:p>
            <w:pPr>
              <w:pStyle w:val="0"/>
            </w:pPr>
            <w:r>
              <w:rPr>
                <w:sz w:val="24"/>
              </w:rPr>
            </w:r>
          </w:p>
        </w:tc>
        <w:tc>
          <w:tcPr>
            <w:tcW w:w="1008" w:type="dxa"/>
          </w:tcPr>
          <w:p>
            <w:pPr>
              <w:pStyle w:val="0"/>
            </w:pPr>
            <w:r>
              <w:rPr>
                <w:sz w:val="24"/>
              </w:rPr>
            </w:r>
          </w:p>
        </w:tc>
      </w:tr>
    </w:tbl>
    <w:p>
      <w:pPr>
        <w:pStyle w:val="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571"/>
        <w:gridCol w:w="868"/>
        <w:gridCol w:w="868"/>
        <w:gridCol w:w="868"/>
        <w:gridCol w:w="868"/>
        <w:gridCol w:w="868"/>
        <w:gridCol w:w="868"/>
        <w:gridCol w:w="868"/>
        <w:gridCol w:w="868"/>
        <w:gridCol w:w="868"/>
        <w:gridCol w:w="868"/>
        <w:gridCol w:w="868"/>
        <w:gridCol w:w="868"/>
        <w:gridCol w:w="868"/>
        <w:gridCol w:w="868"/>
        <w:gridCol w:w="881"/>
      </w:tblGrid>
      <w:tr>
        <w:tblPrEx>
          <w:tblBorders>
            <w:left w:val="nil"/>
            <w:right w:val="nil"/>
          </w:tblBorders>
        </w:tblPrEx>
        <w:tc>
          <w:tcPr>
            <w:gridSpan w:val="16"/>
            <w:tcW w:w="13604" w:type="dxa"/>
            <w:tcBorders>
              <w:left w:val="nil"/>
              <w:right w:val="nil"/>
            </w:tcBorders>
          </w:tcPr>
          <w:p>
            <w:pPr>
              <w:pStyle w:val="0"/>
              <w:outlineLvl w:val="3"/>
              <w:ind w:firstLine="283"/>
              <w:jc w:val="both"/>
            </w:pPr>
            <w:r>
              <w:rPr>
                <w:sz w:val="24"/>
              </w:rPr>
              <w:t xml:space="preserve">Первичная медико-санитарная помощь. Амбулаторно. Диагностические исследования</w:t>
            </w:r>
          </w:p>
        </w:tc>
      </w:tr>
      <w:tr>
        <w:tc>
          <w:tcPr>
            <w:tcW w:w="571" w:type="dxa"/>
          </w:tcPr>
          <w:p>
            <w:pPr>
              <w:pStyle w:val="0"/>
              <w:jc w:val="center"/>
            </w:pPr>
            <w:r>
              <w:rPr>
                <w:sz w:val="24"/>
              </w:rPr>
              <w:t xml:space="preserve">N пп</w:t>
            </w:r>
          </w:p>
        </w:tc>
        <w:tc>
          <w:tcPr>
            <w:tcW w:w="868" w:type="dxa"/>
          </w:tcPr>
          <w:p>
            <w:pPr>
              <w:pStyle w:val="0"/>
              <w:jc w:val="center"/>
            </w:pPr>
            <w:r>
              <w:rPr>
                <w:sz w:val="24"/>
              </w:rPr>
              <w:t xml:space="preserve">Адрес оказания медицинской помощи</w:t>
            </w:r>
          </w:p>
        </w:tc>
        <w:tc>
          <w:tcPr>
            <w:tcW w:w="868" w:type="dxa"/>
          </w:tcPr>
          <w:p>
            <w:pPr>
              <w:pStyle w:val="0"/>
              <w:jc w:val="center"/>
            </w:pPr>
            <w:r>
              <w:rPr>
                <w:sz w:val="24"/>
              </w:rPr>
              <w:t xml:space="preserve">Краткое наименование структурного подразделения (обособленного структурного подразделения)</w:t>
            </w:r>
          </w:p>
        </w:tc>
        <w:tc>
          <w:tcPr>
            <w:tcW w:w="868" w:type="dxa"/>
          </w:tcPr>
          <w:p>
            <w:pPr>
              <w:pStyle w:val="0"/>
              <w:jc w:val="center"/>
            </w:pPr>
            <w:r>
              <w:rPr>
                <w:sz w:val="24"/>
              </w:rPr>
              <w:t xml:space="preserve">Пациенты</w:t>
            </w:r>
          </w:p>
        </w:tc>
        <w:tc>
          <w:tcPr>
            <w:tcW w:w="868" w:type="dxa"/>
          </w:tcPr>
          <w:p>
            <w:pPr>
              <w:pStyle w:val="0"/>
              <w:jc w:val="center"/>
            </w:pPr>
            <w:r>
              <w:rPr>
                <w:sz w:val="24"/>
              </w:rPr>
              <w:t xml:space="preserve">Проведение диагностических (лабораторных) исследований. Всего</w:t>
            </w:r>
          </w:p>
        </w:tc>
        <w:tc>
          <w:tcPr>
            <w:tcW w:w="868" w:type="dxa"/>
          </w:tcPr>
          <w:p>
            <w:pPr>
              <w:pStyle w:val="0"/>
              <w:jc w:val="center"/>
            </w:pPr>
            <w:r>
              <w:rPr>
                <w:sz w:val="24"/>
              </w:rPr>
              <w:t xml:space="preserve">Компьютерная томография</w:t>
            </w:r>
          </w:p>
        </w:tc>
        <w:tc>
          <w:tcPr>
            <w:tcW w:w="868" w:type="dxa"/>
          </w:tcPr>
          <w:p>
            <w:pPr>
              <w:pStyle w:val="0"/>
              <w:jc w:val="center"/>
            </w:pPr>
            <w:r>
              <w:rPr>
                <w:sz w:val="24"/>
              </w:rPr>
              <w:t xml:space="preserve">Магнитно-резонансная томография</w:t>
            </w:r>
          </w:p>
        </w:tc>
        <w:tc>
          <w:tcPr>
            <w:tcW w:w="868" w:type="dxa"/>
          </w:tcPr>
          <w:p>
            <w:pPr>
              <w:pStyle w:val="0"/>
              <w:jc w:val="center"/>
            </w:pPr>
            <w:r>
              <w:rPr>
                <w:sz w:val="24"/>
              </w:rPr>
              <w:t xml:space="preserve">Ультразвуковое исследование сердечно-сосудистой системы</w:t>
            </w:r>
          </w:p>
        </w:tc>
        <w:tc>
          <w:tcPr>
            <w:tcW w:w="868" w:type="dxa"/>
          </w:tcPr>
          <w:p>
            <w:pPr>
              <w:pStyle w:val="0"/>
              <w:jc w:val="center"/>
            </w:pPr>
            <w:r>
              <w:rPr>
                <w:sz w:val="24"/>
              </w:rPr>
              <w:t xml:space="preserve">Эндоскопическое диагностическое исследование</w:t>
            </w:r>
          </w:p>
        </w:tc>
        <w:tc>
          <w:tcPr>
            <w:tcW w:w="868" w:type="dxa"/>
          </w:tcPr>
          <w:p>
            <w:pPr>
              <w:pStyle w:val="0"/>
              <w:jc w:val="center"/>
            </w:pPr>
            <w:r>
              <w:rPr>
                <w:sz w:val="24"/>
              </w:rPr>
              <w:t xml:space="preserve">Патолого-анатомическое исследование биопсийного (операционного) материала</w:t>
            </w:r>
          </w:p>
        </w:tc>
        <w:tc>
          <w:tcPr>
            <w:tcW w:w="868" w:type="dxa"/>
          </w:tcPr>
          <w:p>
            <w:pPr>
              <w:pStyle w:val="0"/>
              <w:jc w:val="center"/>
            </w:pPr>
            <w:r>
              <w:rPr>
                <w:sz w:val="24"/>
              </w:rPr>
              <w:t xml:space="preserve">Молекулярно-генетическое исследование</w:t>
            </w:r>
          </w:p>
        </w:tc>
        <w:tc>
          <w:tcPr>
            <w:tcW w:w="868" w:type="dxa"/>
          </w:tcPr>
          <w:p>
            <w:pPr>
              <w:pStyle w:val="0"/>
              <w:jc w:val="center"/>
            </w:pPr>
            <w:r>
              <w:rPr>
                <w:sz w:val="24"/>
              </w:rPr>
              <w:t xml:space="preserve">Сцинтиграфия</w:t>
            </w:r>
          </w:p>
        </w:tc>
        <w:tc>
          <w:tcPr>
            <w:tcW w:w="868" w:type="dxa"/>
          </w:tcPr>
          <w:p>
            <w:pPr>
              <w:pStyle w:val="0"/>
              <w:jc w:val="center"/>
            </w:pPr>
            <w:r>
              <w:rPr>
                <w:sz w:val="24"/>
              </w:rPr>
              <w:t xml:space="preserve">Диагностическая позитронно-эмиссионная томография</w:t>
            </w:r>
          </w:p>
        </w:tc>
        <w:tc>
          <w:tcPr>
            <w:tcW w:w="868" w:type="dxa"/>
          </w:tcPr>
          <w:p>
            <w:pPr>
              <w:pStyle w:val="0"/>
              <w:jc w:val="center"/>
            </w:pPr>
            <w:r>
              <w:rPr>
                <w:sz w:val="24"/>
              </w:rPr>
              <w:t xml:space="preserve">Тестирование на COVID-19</w:t>
            </w:r>
          </w:p>
        </w:tc>
        <w:tc>
          <w:tcPr>
            <w:tcW w:w="868" w:type="dxa"/>
          </w:tcPr>
          <w:p>
            <w:pPr>
              <w:pStyle w:val="0"/>
              <w:jc w:val="center"/>
            </w:pPr>
            <w:r>
              <w:rPr>
                <w:sz w:val="24"/>
              </w:rPr>
              <w:t xml:space="preserve">Скрининг онкологических заболеваний до 35 лет</w:t>
            </w:r>
          </w:p>
        </w:tc>
        <w:tc>
          <w:tcPr>
            <w:tcW w:w="881" w:type="dxa"/>
          </w:tcPr>
          <w:p>
            <w:pPr>
              <w:pStyle w:val="0"/>
              <w:jc w:val="center"/>
            </w:pPr>
            <w:r>
              <w:rPr>
                <w:sz w:val="24"/>
              </w:rPr>
              <w:t xml:space="preserve">Скрининг онкологических заболеваний с 35 лет</w:t>
            </w:r>
          </w:p>
        </w:tc>
      </w:tr>
      <w:tr>
        <w:tc>
          <w:tcPr>
            <w:tcW w:w="571" w:type="dxa"/>
          </w:tcPr>
          <w:p>
            <w:pPr>
              <w:pStyle w:val="0"/>
            </w:pPr>
            <w:r>
              <w:rPr>
                <w:sz w:val="24"/>
              </w:rPr>
            </w:r>
          </w:p>
        </w:tc>
        <w:tc>
          <w:tcPr>
            <w:tcW w:w="868" w:type="dxa"/>
            <w:vMerge w:val="restart"/>
          </w:tcPr>
          <w:p>
            <w:pPr>
              <w:pStyle w:val="0"/>
            </w:pPr>
            <w:r>
              <w:rPr>
                <w:sz w:val="24"/>
              </w:rPr>
            </w:r>
          </w:p>
        </w:tc>
        <w:tc>
          <w:tcPr>
            <w:tcW w:w="868" w:type="dxa"/>
            <w:vMerge w:val="restart"/>
          </w:tcPr>
          <w:p>
            <w:pPr>
              <w:pStyle w:val="0"/>
            </w:pPr>
            <w:r>
              <w:rPr>
                <w:sz w:val="24"/>
              </w:rPr>
            </w:r>
          </w:p>
        </w:tc>
        <w:tc>
          <w:tcPr>
            <w:tcW w:w="868" w:type="dxa"/>
            <w:vAlign w:val="center"/>
          </w:tcPr>
          <w:p>
            <w:pPr>
              <w:pStyle w:val="0"/>
              <w:jc w:val="center"/>
            </w:pPr>
            <w:r>
              <w:rPr>
                <w:sz w:val="24"/>
              </w:rPr>
              <w:t xml:space="preserve">Дети</w:t>
            </w:r>
          </w:p>
        </w:tc>
        <w:tc>
          <w:tcPr>
            <w:tcW w:w="868" w:type="dxa"/>
          </w:tcPr>
          <w:p>
            <w:pPr>
              <w:pStyle w:val="0"/>
            </w:pPr>
            <w:r>
              <w:rPr>
                <w:sz w:val="24"/>
              </w:rPr>
            </w:r>
          </w:p>
        </w:tc>
        <w:tc>
          <w:tcPr>
            <w:tcW w:w="868" w:type="dxa"/>
          </w:tcPr>
          <w:p>
            <w:pPr>
              <w:pStyle w:val="0"/>
            </w:pPr>
            <w:r>
              <w:rPr>
                <w:sz w:val="24"/>
              </w:rPr>
            </w:r>
          </w:p>
        </w:tc>
        <w:tc>
          <w:tcPr>
            <w:tcW w:w="868" w:type="dxa"/>
          </w:tcPr>
          <w:p>
            <w:pPr>
              <w:pStyle w:val="0"/>
            </w:pPr>
            <w:r>
              <w:rPr>
                <w:sz w:val="24"/>
              </w:rPr>
            </w:r>
          </w:p>
        </w:tc>
        <w:tc>
          <w:tcPr>
            <w:tcW w:w="868" w:type="dxa"/>
          </w:tcPr>
          <w:p>
            <w:pPr>
              <w:pStyle w:val="0"/>
            </w:pPr>
            <w:r>
              <w:rPr>
                <w:sz w:val="24"/>
              </w:rPr>
            </w:r>
          </w:p>
        </w:tc>
        <w:tc>
          <w:tcPr>
            <w:tcW w:w="868" w:type="dxa"/>
          </w:tcPr>
          <w:p>
            <w:pPr>
              <w:pStyle w:val="0"/>
            </w:pPr>
            <w:r>
              <w:rPr>
                <w:sz w:val="24"/>
              </w:rPr>
            </w:r>
          </w:p>
        </w:tc>
        <w:tc>
          <w:tcPr>
            <w:tcW w:w="868" w:type="dxa"/>
          </w:tcPr>
          <w:p>
            <w:pPr>
              <w:pStyle w:val="0"/>
            </w:pPr>
            <w:r>
              <w:rPr>
                <w:sz w:val="24"/>
              </w:rPr>
            </w:r>
          </w:p>
        </w:tc>
        <w:tc>
          <w:tcPr>
            <w:tcW w:w="868" w:type="dxa"/>
          </w:tcPr>
          <w:p>
            <w:pPr>
              <w:pStyle w:val="0"/>
            </w:pPr>
            <w:r>
              <w:rPr>
                <w:sz w:val="24"/>
              </w:rPr>
            </w:r>
          </w:p>
        </w:tc>
        <w:tc>
          <w:tcPr>
            <w:tcW w:w="868" w:type="dxa"/>
          </w:tcPr>
          <w:p>
            <w:pPr>
              <w:pStyle w:val="0"/>
            </w:pPr>
            <w:r>
              <w:rPr>
                <w:sz w:val="24"/>
              </w:rPr>
            </w:r>
          </w:p>
        </w:tc>
        <w:tc>
          <w:tcPr>
            <w:tcW w:w="868" w:type="dxa"/>
          </w:tcPr>
          <w:p>
            <w:pPr>
              <w:pStyle w:val="0"/>
            </w:pPr>
            <w:r>
              <w:rPr>
                <w:sz w:val="24"/>
              </w:rPr>
            </w:r>
          </w:p>
        </w:tc>
        <w:tc>
          <w:tcPr>
            <w:tcW w:w="868" w:type="dxa"/>
          </w:tcPr>
          <w:p>
            <w:pPr>
              <w:pStyle w:val="0"/>
            </w:pPr>
            <w:r>
              <w:rPr>
                <w:sz w:val="24"/>
              </w:rPr>
            </w:r>
          </w:p>
        </w:tc>
        <w:tc>
          <w:tcPr>
            <w:tcW w:w="868" w:type="dxa"/>
          </w:tcPr>
          <w:p>
            <w:pPr>
              <w:pStyle w:val="0"/>
            </w:pPr>
            <w:r>
              <w:rPr>
                <w:sz w:val="24"/>
              </w:rPr>
            </w:r>
          </w:p>
        </w:tc>
        <w:tc>
          <w:tcPr>
            <w:tcW w:w="881" w:type="dxa"/>
          </w:tcPr>
          <w:p>
            <w:pPr>
              <w:pStyle w:val="0"/>
            </w:pPr>
            <w:r>
              <w:rPr>
                <w:sz w:val="24"/>
              </w:rPr>
            </w:r>
          </w:p>
        </w:tc>
      </w:tr>
      <w:tr>
        <w:tc>
          <w:tcPr>
            <w:tcW w:w="571" w:type="dxa"/>
          </w:tcPr>
          <w:p>
            <w:pPr>
              <w:pStyle w:val="0"/>
            </w:pPr>
            <w:r>
              <w:rPr>
                <w:sz w:val="24"/>
              </w:rPr>
            </w:r>
          </w:p>
        </w:tc>
        <w:tc>
          <w:tcPr>
            <w:vMerge w:val="continue"/>
          </w:tcPr>
          <w:p/>
        </w:tc>
        <w:tc>
          <w:tcPr>
            <w:vMerge w:val="continue"/>
          </w:tcPr>
          <w:p/>
        </w:tc>
        <w:tc>
          <w:tcPr>
            <w:tcW w:w="868" w:type="dxa"/>
            <w:vAlign w:val="center"/>
          </w:tcPr>
          <w:p>
            <w:pPr>
              <w:pStyle w:val="0"/>
              <w:jc w:val="center"/>
            </w:pPr>
            <w:r>
              <w:rPr>
                <w:sz w:val="24"/>
              </w:rPr>
              <w:t xml:space="preserve">Взрослые</w:t>
            </w:r>
          </w:p>
        </w:tc>
        <w:tc>
          <w:tcPr>
            <w:tcW w:w="868" w:type="dxa"/>
          </w:tcPr>
          <w:p>
            <w:pPr>
              <w:pStyle w:val="0"/>
            </w:pPr>
            <w:r>
              <w:rPr>
                <w:sz w:val="24"/>
              </w:rPr>
            </w:r>
          </w:p>
        </w:tc>
        <w:tc>
          <w:tcPr>
            <w:tcW w:w="868" w:type="dxa"/>
          </w:tcPr>
          <w:p>
            <w:pPr>
              <w:pStyle w:val="0"/>
            </w:pPr>
            <w:r>
              <w:rPr>
                <w:sz w:val="24"/>
              </w:rPr>
            </w:r>
          </w:p>
        </w:tc>
        <w:tc>
          <w:tcPr>
            <w:tcW w:w="868" w:type="dxa"/>
          </w:tcPr>
          <w:p>
            <w:pPr>
              <w:pStyle w:val="0"/>
            </w:pPr>
            <w:r>
              <w:rPr>
                <w:sz w:val="24"/>
              </w:rPr>
            </w:r>
          </w:p>
        </w:tc>
        <w:tc>
          <w:tcPr>
            <w:tcW w:w="868" w:type="dxa"/>
          </w:tcPr>
          <w:p>
            <w:pPr>
              <w:pStyle w:val="0"/>
            </w:pPr>
            <w:r>
              <w:rPr>
                <w:sz w:val="24"/>
              </w:rPr>
            </w:r>
          </w:p>
        </w:tc>
        <w:tc>
          <w:tcPr>
            <w:tcW w:w="868" w:type="dxa"/>
          </w:tcPr>
          <w:p>
            <w:pPr>
              <w:pStyle w:val="0"/>
            </w:pPr>
            <w:r>
              <w:rPr>
                <w:sz w:val="24"/>
              </w:rPr>
            </w:r>
          </w:p>
        </w:tc>
        <w:tc>
          <w:tcPr>
            <w:tcW w:w="868" w:type="dxa"/>
          </w:tcPr>
          <w:p>
            <w:pPr>
              <w:pStyle w:val="0"/>
            </w:pPr>
            <w:r>
              <w:rPr>
                <w:sz w:val="24"/>
              </w:rPr>
            </w:r>
          </w:p>
        </w:tc>
        <w:tc>
          <w:tcPr>
            <w:tcW w:w="868" w:type="dxa"/>
          </w:tcPr>
          <w:p>
            <w:pPr>
              <w:pStyle w:val="0"/>
            </w:pPr>
            <w:r>
              <w:rPr>
                <w:sz w:val="24"/>
              </w:rPr>
            </w:r>
          </w:p>
        </w:tc>
        <w:tc>
          <w:tcPr>
            <w:tcW w:w="868" w:type="dxa"/>
          </w:tcPr>
          <w:p>
            <w:pPr>
              <w:pStyle w:val="0"/>
            </w:pPr>
            <w:r>
              <w:rPr>
                <w:sz w:val="24"/>
              </w:rPr>
            </w:r>
          </w:p>
        </w:tc>
        <w:tc>
          <w:tcPr>
            <w:tcW w:w="868" w:type="dxa"/>
          </w:tcPr>
          <w:p>
            <w:pPr>
              <w:pStyle w:val="0"/>
            </w:pPr>
            <w:r>
              <w:rPr>
                <w:sz w:val="24"/>
              </w:rPr>
            </w:r>
          </w:p>
        </w:tc>
        <w:tc>
          <w:tcPr>
            <w:tcW w:w="868" w:type="dxa"/>
          </w:tcPr>
          <w:p>
            <w:pPr>
              <w:pStyle w:val="0"/>
            </w:pPr>
            <w:r>
              <w:rPr>
                <w:sz w:val="24"/>
              </w:rPr>
            </w:r>
          </w:p>
        </w:tc>
        <w:tc>
          <w:tcPr>
            <w:tcW w:w="868" w:type="dxa"/>
          </w:tcPr>
          <w:p>
            <w:pPr>
              <w:pStyle w:val="0"/>
            </w:pPr>
            <w:r>
              <w:rPr>
                <w:sz w:val="24"/>
              </w:rPr>
            </w:r>
          </w:p>
        </w:tc>
        <w:tc>
          <w:tcPr>
            <w:tcW w:w="881" w:type="dxa"/>
          </w:tcPr>
          <w:p>
            <w:pPr>
              <w:pStyle w:val="0"/>
            </w:pPr>
            <w:r>
              <w:rPr>
                <w:sz w:val="24"/>
              </w:rPr>
            </w:r>
          </w:p>
        </w:tc>
      </w:tr>
      <w:tr>
        <w:tc>
          <w:tcPr>
            <w:tcW w:w="571" w:type="dxa"/>
          </w:tcPr>
          <w:p>
            <w:pPr>
              <w:pStyle w:val="0"/>
            </w:pPr>
            <w:r>
              <w:rPr>
                <w:sz w:val="24"/>
              </w:rPr>
            </w:r>
          </w:p>
        </w:tc>
        <w:tc>
          <w:tcPr>
            <w:tcW w:w="868" w:type="dxa"/>
          </w:tcPr>
          <w:p>
            <w:pPr>
              <w:pStyle w:val="0"/>
            </w:pPr>
            <w:r>
              <w:rPr>
                <w:sz w:val="24"/>
              </w:rPr>
            </w:r>
          </w:p>
        </w:tc>
        <w:tc>
          <w:tcPr>
            <w:tcW w:w="868" w:type="dxa"/>
          </w:tcPr>
          <w:p>
            <w:pPr>
              <w:pStyle w:val="0"/>
            </w:pPr>
            <w:r>
              <w:rPr>
                <w:sz w:val="24"/>
              </w:rPr>
            </w:r>
          </w:p>
        </w:tc>
        <w:tc>
          <w:tcPr>
            <w:tcW w:w="868" w:type="dxa"/>
            <w:vAlign w:val="center"/>
          </w:tcPr>
          <w:p>
            <w:pPr>
              <w:pStyle w:val="0"/>
              <w:jc w:val="center"/>
            </w:pPr>
            <w:r>
              <w:rPr>
                <w:sz w:val="24"/>
              </w:rPr>
              <w:t xml:space="preserve">Всего</w:t>
            </w:r>
          </w:p>
        </w:tc>
        <w:tc>
          <w:tcPr>
            <w:tcW w:w="868" w:type="dxa"/>
          </w:tcPr>
          <w:p>
            <w:pPr>
              <w:pStyle w:val="0"/>
            </w:pPr>
            <w:r>
              <w:rPr>
                <w:sz w:val="24"/>
              </w:rPr>
            </w:r>
          </w:p>
        </w:tc>
        <w:tc>
          <w:tcPr>
            <w:tcW w:w="868" w:type="dxa"/>
          </w:tcPr>
          <w:p>
            <w:pPr>
              <w:pStyle w:val="0"/>
            </w:pPr>
            <w:r>
              <w:rPr>
                <w:sz w:val="24"/>
              </w:rPr>
            </w:r>
          </w:p>
        </w:tc>
        <w:tc>
          <w:tcPr>
            <w:tcW w:w="868" w:type="dxa"/>
          </w:tcPr>
          <w:p>
            <w:pPr>
              <w:pStyle w:val="0"/>
            </w:pPr>
            <w:r>
              <w:rPr>
                <w:sz w:val="24"/>
              </w:rPr>
            </w:r>
          </w:p>
        </w:tc>
        <w:tc>
          <w:tcPr>
            <w:tcW w:w="868" w:type="dxa"/>
          </w:tcPr>
          <w:p>
            <w:pPr>
              <w:pStyle w:val="0"/>
            </w:pPr>
            <w:r>
              <w:rPr>
                <w:sz w:val="24"/>
              </w:rPr>
            </w:r>
          </w:p>
        </w:tc>
        <w:tc>
          <w:tcPr>
            <w:tcW w:w="868" w:type="dxa"/>
          </w:tcPr>
          <w:p>
            <w:pPr>
              <w:pStyle w:val="0"/>
            </w:pPr>
            <w:r>
              <w:rPr>
                <w:sz w:val="24"/>
              </w:rPr>
            </w:r>
          </w:p>
        </w:tc>
        <w:tc>
          <w:tcPr>
            <w:tcW w:w="868" w:type="dxa"/>
          </w:tcPr>
          <w:p>
            <w:pPr>
              <w:pStyle w:val="0"/>
            </w:pPr>
            <w:r>
              <w:rPr>
                <w:sz w:val="24"/>
              </w:rPr>
            </w:r>
          </w:p>
        </w:tc>
        <w:tc>
          <w:tcPr>
            <w:tcW w:w="868" w:type="dxa"/>
          </w:tcPr>
          <w:p>
            <w:pPr>
              <w:pStyle w:val="0"/>
            </w:pPr>
            <w:r>
              <w:rPr>
                <w:sz w:val="24"/>
              </w:rPr>
            </w:r>
          </w:p>
        </w:tc>
        <w:tc>
          <w:tcPr>
            <w:tcW w:w="868" w:type="dxa"/>
          </w:tcPr>
          <w:p>
            <w:pPr>
              <w:pStyle w:val="0"/>
            </w:pPr>
            <w:r>
              <w:rPr>
                <w:sz w:val="24"/>
              </w:rPr>
            </w:r>
          </w:p>
        </w:tc>
        <w:tc>
          <w:tcPr>
            <w:tcW w:w="868" w:type="dxa"/>
          </w:tcPr>
          <w:p>
            <w:pPr>
              <w:pStyle w:val="0"/>
            </w:pPr>
            <w:r>
              <w:rPr>
                <w:sz w:val="24"/>
              </w:rPr>
            </w:r>
          </w:p>
        </w:tc>
        <w:tc>
          <w:tcPr>
            <w:tcW w:w="868" w:type="dxa"/>
          </w:tcPr>
          <w:p>
            <w:pPr>
              <w:pStyle w:val="0"/>
            </w:pPr>
            <w:r>
              <w:rPr>
                <w:sz w:val="24"/>
              </w:rPr>
            </w:r>
          </w:p>
        </w:tc>
        <w:tc>
          <w:tcPr>
            <w:tcW w:w="868" w:type="dxa"/>
          </w:tcPr>
          <w:p>
            <w:pPr>
              <w:pStyle w:val="0"/>
            </w:pPr>
            <w:r>
              <w:rPr>
                <w:sz w:val="24"/>
              </w:rPr>
            </w:r>
          </w:p>
        </w:tc>
        <w:tc>
          <w:tcPr>
            <w:tcW w:w="881" w:type="dxa"/>
          </w:tcPr>
          <w:p>
            <w:pPr>
              <w:pStyle w:val="0"/>
            </w:pPr>
            <w:r>
              <w:rPr>
                <w:sz w:val="24"/>
              </w:rPr>
            </w:r>
          </w:p>
        </w:tc>
      </w:tr>
    </w:tbl>
    <w:p>
      <w:pPr>
        <w:sectPr>
          <w:headerReference w:type="default" r:id="rId306"/>
          <w:headerReference w:type="first" r:id="rId306"/>
          <w:footerReference w:type="default" r:id="rId307"/>
          <w:footerReference w:type="first" r:id="rId307"/>
          <w:pgSz w:w="16838" w:h="11906" w:orient="landscape"/>
          <w:pgMar w:top="1133" w:right="1440" w:bottom="566" w:left="1440" w:header="0" w:footer="0" w:gutter="0"/>
          <w:titlePg/>
        </w:sectPr>
      </w:pPr>
    </w:p>
    <w:p>
      <w:pPr>
        <w:pStyle w:val="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567"/>
        <w:gridCol w:w="1304"/>
        <w:gridCol w:w="2154"/>
        <w:gridCol w:w="1644"/>
        <w:gridCol w:w="1304"/>
        <w:gridCol w:w="1134"/>
        <w:gridCol w:w="964"/>
      </w:tblGrid>
      <w:tr>
        <w:tblPrEx>
          <w:tblBorders>
            <w:left w:val="nil"/>
            <w:right w:val="nil"/>
          </w:tblBorders>
        </w:tblPrEx>
        <w:tc>
          <w:tcPr>
            <w:gridSpan w:val="7"/>
            <w:tcW w:w="9071" w:type="dxa"/>
            <w:tcBorders>
              <w:left w:val="nil"/>
              <w:right w:val="nil"/>
            </w:tcBorders>
          </w:tcPr>
          <w:p>
            <w:pPr>
              <w:pStyle w:val="0"/>
              <w:outlineLvl w:val="3"/>
              <w:ind w:firstLine="283"/>
              <w:jc w:val="both"/>
            </w:pPr>
            <w:r>
              <w:rPr>
                <w:sz w:val="24"/>
              </w:rPr>
              <w:t xml:space="preserve">Первичная медико-санитарная помощь. Дневной стационар.</w:t>
            </w:r>
          </w:p>
        </w:tc>
      </w:tr>
      <w:tr>
        <w:tc>
          <w:tcPr>
            <w:tcW w:w="567" w:type="dxa"/>
          </w:tcPr>
          <w:p>
            <w:pPr>
              <w:pStyle w:val="0"/>
              <w:jc w:val="center"/>
            </w:pPr>
            <w:r>
              <w:rPr>
                <w:sz w:val="24"/>
              </w:rPr>
              <w:t xml:space="preserve">N пп</w:t>
            </w:r>
          </w:p>
        </w:tc>
        <w:tc>
          <w:tcPr>
            <w:tcW w:w="1304" w:type="dxa"/>
          </w:tcPr>
          <w:p>
            <w:pPr>
              <w:pStyle w:val="0"/>
              <w:jc w:val="center"/>
            </w:pPr>
            <w:r>
              <w:rPr>
                <w:sz w:val="24"/>
              </w:rPr>
              <w:t xml:space="preserve">Адрес оказания медицинской помощи</w:t>
            </w:r>
          </w:p>
        </w:tc>
        <w:tc>
          <w:tcPr>
            <w:tcW w:w="2154" w:type="dxa"/>
          </w:tcPr>
          <w:p>
            <w:pPr>
              <w:pStyle w:val="0"/>
              <w:jc w:val="center"/>
            </w:pPr>
            <w:r>
              <w:rPr>
                <w:sz w:val="24"/>
              </w:rPr>
              <w:t xml:space="preserve">Краткое наименование структурного подразделения (обособленного структурного подразделения)</w:t>
            </w:r>
          </w:p>
        </w:tc>
        <w:tc>
          <w:tcPr>
            <w:tcW w:w="1644" w:type="dxa"/>
          </w:tcPr>
          <w:p>
            <w:pPr>
              <w:pStyle w:val="0"/>
              <w:jc w:val="center"/>
            </w:pPr>
            <w:r>
              <w:rPr>
                <w:sz w:val="24"/>
              </w:rPr>
              <w:t xml:space="preserve">Профиль медицинской помощи</w:t>
            </w:r>
          </w:p>
        </w:tc>
        <w:tc>
          <w:tcPr>
            <w:tcW w:w="1304" w:type="dxa"/>
          </w:tcPr>
          <w:p>
            <w:pPr>
              <w:pStyle w:val="0"/>
              <w:jc w:val="center"/>
            </w:pPr>
            <w:r>
              <w:rPr>
                <w:sz w:val="24"/>
              </w:rPr>
              <w:t xml:space="preserve">Клинико-профильная группа (КПГ) (Код - Наименование)</w:t>
            </w:r>
          </w:p>
        </w:tc>
        <w:tc>
          <w:tcPr>
            <w:tcW w:w="1134" w:type="dxa"/>
          </w:tcPr>
          <w:p>
            <w:pPr>
              <w:pStyle w:val="0"/>
              <w:jc w:val="center"/>
            </w:pPr>
            <w:r>
              <w:rPr>
                <w:sz w:val="24"/>
              </w:rPr>
              <w:t xml:space="preserve">Клинико-статистическая группа (КСГ) (Код - Наименование)</w:t>
            </w:r>
          </w:p>
        </w:tc>
        <w:tc>
          <w:tcPr>
            <w:tcW w:w="964" w:type="dxa"/>
          </w:tcPr>
          <w:p>
            <w:pPr>
              <w:pStyle w:val="0"/>
              <w:jc w:val="center"/>
            </w:pPr>
            <w:r>
              <w:rPr>
                <w:sz w:val="24"/>
              </w:rPr>
              <w:t xml:space="preserve">Объем медицинской помощи (случай)</w:t>
            </w:r>
          </w:p>
        </w:tc>
      </w:tr>
      <w:tr>
        <w:tc>
          <w:tcPr>
            <w:tcW w:w="567" w:type="dxa"/>
          </w:tcPr>
          <w:p>
            <w:pPr>
              <w:pStyle w:val="0"/>
            </w:pPr>
            <w:r>
              <w:rPr>
                <w:sz w:val="24"/>
              </w:rPr>
            </w:r>
          </w:p>
        </w:tc>
        <w:tc>
          <w:tcPr>
            <w:tcW w:w="1304" w:type="dxa"/>
          </w:tcPr>
          <w:p>
            <w:pPr>
              <w:pStyle w:val="0"/>
            </w:pPr>
            <w:r>
              <w:rPr>
                <w:sz w:val="24"/>
              </w:rPr>
            </w:r>
          </w:p>
        </w:tc>
        <w:tc>
          <w:tcPr>
            <w:tcW w:w="2154" w:type="dxa"/>
          </w:tcPr>
          <w:p>
            <w:pPr>
              <w:pStyle w:val="0"/>
            </w:pPr>
            <w:r>
              <w:rPr>
                <w:sz w:val="24"/>
              </w:rPr>
            </w:r>
          </w:p>
        </w:tc>
        <w:tc>
          <w:tcPr>
            <w:tcW w:w="1644" w:type="dxa"/>
          </w:tcPr>
          <w:p>
            <w:pPr>
              <w:pStyle w:val="0"/>
            </w:pPr>
            <w:r>
              <w:rPr>
                <w:sz w:val="24"/>
              </w:rPr>
            </w:r>
          </w:p>
        </w:tc>
        <w:tc>
          <w:tcPr>
            <w:tcW w:w="1304" w:type="dxa"/>
          </w:tcPr>
          <w:p>
            <w:pPr>
              <w:pStyle w:val="0"/>
            </w:pPr>
            <w:r>
              <w:rPr>
                <w:sz w:val="24"/>
              </w:rPr>
            </w:r>
          </w:p>
        </w:tc>
        <w:tc>
          <w:tcPr>
            <w:tcW w:w="1134" w:type="dxa"/>
          </w:tcPr>
          <w:p>
            <w:pPr>
              <w:pStyle w:val="0"/>
            </w:pPr>
            <w:r>
              <w:rPr>
                <w:sz w:val="24"/>
              </w:rPr>
            </w:r>
          </w:p>
        </w:tc>
        <w:tc>
          <w:tcPr>
            <w:tcW w:w="964" w:type="dxa"/>
          </w:tcPr>
          <w:p>
            <w:pPr>
              <w:pStyle w:val="0"/>
            </w:pPr>
            <w:r>
              <w:rPr>
                <w:sz w:val="24"/>
              </w:rPr>
            </w:r>
          </w:p>
        </w:tc>
      </w:tr>
      <w:tr>
        <w:tc>
          <w:tcPr>
            <w:tcW w:w="567" w:type="dxa"/>
          </w:tcPr>
          <w:p>
            <w:pPr>
              <w:pStyle w:val="0"/>
            </w:pPr>
            <w:r>
              <w:rPr>
                <w:sz w:val="24"/>
              </w:rPr>
            </w:r>
          </w:p>
        </w:tc>
        <w:tc>
          <w:tcPr>
            <w:tcW w:w="1304" w:type="dxa"/>
          </w:tcPr>
          <w:p>
            <w:pPr>
              <w:pStyle w:val="0"/>
            </w:pPr>
            <w:r>
              <w:rPr>
                <w:sz w:val="24"/>
              </w:rPr>
            </w:r>
          </w:p>
        </w:tc>
        <w:tc>
          <w:tcPr>
            <w:tcW w:w="2154" w:type="dxa"/>
          </w:tcPr>
          <w:p>
            <w:pPr>
              <w:pStyle w:val="0"/>
            </w:pPr>
            <w:r>
              <w:rPr>
                <w:sz w:val="24"/>
              </w:rPr>
            </w:r>
          </w:p>
        </w:tc>
        <w:tc>
          <w:tcPr>
            <w:tcW w:w="1644" w:type="dxa"/>
          </w:tcPr>
          <w:p>
            <w:pPr>
              <w:pStyle w:val="0"/>
            </w:pPr>
            <w:r>
              <w:rPr>
                <w:sz w:val="24"/>
              </w:rPr>
            </w:r>
          </w:p>
        </w:tc>
        <w:tc>
          <w:tcPr>
            <w:tcW w:w="1304" w:type="dxa"/>
          </w:tcPr>
          <w:p>
            <w:pPr>
              <w:pStyle w:val="0"/>
            </w:pPr>
            <w:r>
              <w:rPr>
                <w:sz w:val="24"/>
              </w:rPr>
            </w:r>
          </w:p>
        </w:tc>
        <w:tc>
          <w:tcPr>
            <w:tcW w:w="1134" w:type="dxa"/>
            <w:vAlign w:val="center"/>
          </w:tcPr>
          <w:p>
            <w:pPr>
              <w:pStyle w:val="0"/>
              <w:jc w:val="center"/>
            </w:pPr>
            <w:r>
              <w:rPr>
                <w:sz w:val="24"/>
              </w:rPr>
              <w:t xml:space="preserve">Всего</w:t>
            </w:r>
          </w:p>
        </w:tc>
        <w:tc>
          <w:tcPr>
            <w:tcW w:w="964" w:type="dxa"/>
          </w:tcPr>
          <w:p>
            <w:pPr>
              <w:pStyle w:val="0"/>
            </w:pPr>
            <w:r>
              <w:rPr>
                <w:sz w:val="24"/>
              </w:rPr>
            </w:r>
          </w:p>
        </w:tc>
      </w:tr>
    </w:tbl>
    <w:p>
      <w:pPr>
        <w:pStyle w:val="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567"/>
        <w:gridCol w:w="1304"/>
        <w:gridCol w:w="2154"/>
        <w:gridCol w:w="1644"/>
        <w:gridCol w:w="1304"/>
        <w:gridCol w:w="1134"/>
        <w:gridCol w:w="964"/>
      </w:tblGrid>
      <w:tr>
        <w:tblPrEx>
          <w:tblBorders>
            <w:left w:val="nil"/>
            <w:right w:val="nil"/>
          </w:tblBorders>
        </w:tblPrEx>
        <w:tc>
          <w:tcPr>
            <w:gridSpan w:val="7"/>
            <w:tcW w:w="9071" w:type="dxa"/>
            <w:tcBorders>
              <w:left w:val="nil"/>
              <w:right w:val="nil"/>
            </w:tcBorders>
          </w:tcPr>
          <w:p>
            <w:pPr>
              <w:pStyle w:val="0"/>
              <w:outlineLvl w:val="3"/>
              <w:ind w:firstLine="283"/>
              <w:jc w:val="both"/>
            </w:pPr>
            <w:r>
              <w:rPr>
                <w:sz w:val="24"/>
              </w:rPr>
              <w:t xml:space="preserve">Скорая медицинская помощь.</w:t>
            </w:r>
          </w:p>
        </w:tc>
      </w:tr>
      <w:tr>
        <w:tc>
          <w:tcPr>
            <w:tcW w:w="567" w:type="dxa"/>
          </w:tcPr>
          <w:p>
            <w:pPr>
              <w:pStyle w:val="0"/>
              <w:jc w:val="center"/>
            </w:pPr>
            <w:r>
              <w:rPr>
                <w:sz w:val="24"/>
              </w:rPr>
              <w:t xml:space="preserve">N пп</w:t>
            </w:r>
          </w:p>
        </w:tc>
        <w:tc>
          <w:tcPr>
            <w:tcW w:w="1304" w:type="dxa"/>
          </w:tcPr>
          <w:p>
            <w:pPr>
              <w:pStyle w:val="0"/>
              <w:jc w:val="center"/>
            </w:pPr>
            <w:r>
              <w:rPr>
                <w:sz w:val="24"/>
              </w:rPr>
              <w:t xml:space="preserve">Адрес оказания медицинской помощи</w:t>
            </w:r>
          </w:p>
        </w:tc>
        <w:tc>
          <w:tcPr>
            <w:tcW w:w="2154" w:type="dxa"/>
          </w:tcPr>
          <w:p>
            <w:pPr>
              <w:pStyle w:val="0"/>
              <w:jc w:val="center"/>
            </w:pPr>
            <w:r>
              <w:rPr>
                <w:sz w:val="24"/>
              </w:rPr>
              <w:t xml:space="preserve">Краткое наименование структурного подразделения (обособленного структурного подразделения)</w:t>
            </w:r>
          </w:p>
        </w:tc>
        <w:tc>
          <w:tcPr>
            <w:tcW w:w="1644" w:type="dxa"/>
          </w:tcPr>
          <w:p>
            <w:pPr>
              <w:pStyle w:val="0"/>
              <w:jc w:val="center"/>
            </w:pPr>
            <w:r>
              <w:rPr>
                <w:sz w:val="24"/>
              </w:rPr>
              <w:t xml:space="preserve">Наименование показателя</w:t>
            </w:r>
          </w:p>
        </w:tc>
        <w:tc>
          <w:tcPr>
            <w:tcW w:w="1304" w:type="dxa"/>
          </w:tcPr>
          <w:p>
            <w:pPr>
              <w:pStyle w:val="0"/>
              <w:jc w:val="center"/>
            </w:pPr>
            <w:r>
              <w:rPr>
                <w:sz w:val="24"/>
              </w:rPr>
              <w:t xml:space="preserve">Объем медицинской помощи всего</w:t>
            </w:r>
          </w:p>
        </w:tc>
        <w:tc>
          <w:tcPr>
            <w:tcW w:w="1134" w:type="dxa"/>
          </w:tcPr>
          <w:p>
            <w:pPr>
              <w:pStyle w:val="0"/>
              <w:jc w:val="center"/>
            </w:pPr>
            <w:r>
              <w:rPr>
                <w:sz w:val="24"/>
              </w:rPr>
              <w:t xml:space="preserve">Взрослые</w:t>
            </w:r>
          </w:p>
        </w:tc>
        <w:tc>
          <w:tcPr>
            <w:tcW w:w="964" w:type="dxa"/>
          </w:tcPr>
          <w:p>
            <w:pPr>
              <w:pStyle w:val="0"/>
              <w:jc w:val="center"/>
            </w:pPr>
            <w:r>
              <w:rPr>
                <w:sz w:val="24"/>
              </w:rPr>
              <w:t xml:space="preserve">Дети</w:t>
            </w:r>
          </w:p>
        </w:tc>
      </w:tr>
      <w:tr>
        <w:tc>
          <w:tcPr>
            <w:tcW w:w="567" w:type="dxa"/>
          </w:tcPr>
          <w:p>
            <w:pPr>
              <w:pStyle w:val="0"/>
            </w:pPr>
            <w:r>
              <w:rPr>
                <w:sz w:val="24"/>
              </w:rPr>
            </w:r>
          </w:p>
        </w:tc>
        <w:tc>
          <w:tcPr>
            <w:tcW w:w="1304" w:type="dxa"/>
            <w:vMerge w:val="restart"/>
          </w:tcPr>
          <w:p>
            <w:pPr>
              <w:pStyle w:val="0"/>
            </w:pPr>
            <w:r>
              <w:rPr>
                <w:sz w:val="24"/>
              </w:rPr>
            </w:r>
          </w:p>
        </w:tc>
        <w:tc>
          <w:tcPr>
            <w:tcW w:w="2154" w:type="dxa"/>
            <w:vMerge w:val="restart"/>
          </w:tcPr>
          <w:p>
            <w:pPr>
              <w:pStyle w:val="0"/>
            </w:pPr>
            <w:r>
              <w:rPr>
                <w:sz w:val="24"/>
              </w:rPr>
            </w:r>
          </w:p>
        </w:tc>
        <w:tc>
          <w:tcPr>
            <w:tcW w:w="1644" w:type="dxa"/>
            <w:vAlign w:val="center"/>
          </w:tcPr>
          <w:p>
            <w:pPr>
              <w:pStyle w:val="0"/>
              <w:jc w:val="center"/>
            </w:pPr>
            <w:r>
              <w:rPr>
                <w:sz w:val="24"/>
              </w:rPr>
              <w:t xml:space="preserve">Вызовов по неотложной помощи</w:t>
            </w:r>
          </w:p>
        </w:tc>
        <w:tc>
          <w:tcPr>
            <w:tcW w:w="1304" w:type="dxa"/>
          </w:tcPr>
          <w:p>
            <w:pPr>
              <w:pStyle w:val="0"/>
            </w:pPr>
            <w:r>
              <w:rPr>
                <w:sz w:val="24"/>
              </w:rPr>
            </w:r>
          </w:p>
        </w:tc>
        <w:tc>
          <w:tcPr>
            <w:tcW w:w="1134" w:type="dxa"/>
          </w:tcPr>
          <w:p>
            <w:pPr>
              <w:pStyle w:val="0"/>
            </w:pPr>
            <w:r>
              <w:rPr>
                <w:sz w:val="24"/>
              </w:rPr>
            </w:r>
          </w:p>
        </w:tc>
        <w:tc>
          <w:tcPr>
            <w:tcW w:w="964" w:type="dxa"/>
          </w:tcPr>
          <w:p>
            <w:pPr>
              <w:pStyle w:val="0"/>
            </w:pPr>
            <w:r>
              <w:rPr>
                <w:sz w:val="24"/>
              </w:rPr>
            </w:r>
          </w:p>
        </w:tc>
      </w:tr>
      <w:tr>
        <w:tc>
          <w:tcPr>
            <w:tcW w:w="567" w:type="dxa"/>
          </w:tcPr>
          <w:p>
            <w:pPr>
              <w:pStyle w:val="0"/>
            </w:pPr>
            <w:r>
              <w:rPr>
                <w:sz w:val="24"/>
              </w:rPr>
            </w:r>
          </w:p>
        </w:tc>
        <w:tc>
          <w:tcPr>
            <w:vMerge w:val="continue"/>
          </w:tcPr>
          <w:p/>
        </w:tc>
        <w:tc>
          <w:tcPr>
            <w:vMerge w:val="continue"/>
          </w:tcPr>
          <w:p/>
        </w:tc>
        <w:tc>
          <w:tcPr>
            <w:tcW w:w="1644" w:type="dxa"/>
            <w:vAlign w:val="center"/>
          </w:tcPr>
          <w:p>
            <w:pPr>
              <w:pStyle w:val="0"/>
              <w:jc w:val="center"/>
            </w:pPr>
            <w:r>
              <w:rPr>
                <w:sz w:val="24"/>
              </w:rPr>
              <w:t xml:space="preserve">Вызовов скорой помощи - всего, в том числе</w:t>
            </w:r>
          </w:p>
        </w:tc>
        <w:tc>
          <w:tcPr>
            <w:tcW w:w="1304" w:type="dxa"/>
          </w:tcPr>
          <w:p>
            <w:pPr>
              <w:pStyle w:val="0"/>
            </w:pPr>
            <w:r>
              <w:rPr>
                <w:sz w:val="24"/>
              </w:rPr>
            </w:r>
          </w:p>
        </w:tc>
        <w:tc>
          <w:tcPr>
            <w:tcW w:w="1134" w:type="dxa"/>
          </w:tcPr>
          <w:p>
            <w:pPr>
              <w:pStyle w:val="0"/>
            </w:pPr>
            <w:r>
              <w:rPr>
                <w:sz w:val="24"/>
              </w:rPr>
            </w:r>
          </w:p>
        </w:tc>
        <w:tc>
          <w:tcPr>
            <w:tcW w:w="964" w:type="dxa"/>
          </w:tcPr>
          <w:p>
            <w:pPr>
              <w:pStyle w:val="0"/>
            </w:pPr>
            <w:r>
              <w:rPr>
                <w:sz w:val="24"/>
              </w:rPr>
            </w:r>
          </w:p>
        </w:tc>
      </w:tr>
      <w:tr>
        <w:tc>
          <w:tcPr>
            <w:tcW w:w="567" w:type="dxa"/>
          </w:tcPr>
          <w:p>
            <w:pPr>
              <w:pStyle w:val="0"/>
            </w:pPr>
            <w:r>
              <w:rPr>
                <w:sz w:val="24"/>
              </w:rPr>
            </w:r>
          </w:p>
        </w:tc>
        <w:tc>
          <w:tcPr>
            <w:vMerge w:val="continue"/>
          </w:tcPr>
          <w:p/>
        </w:tc>
        <w:tc>
          <w:tcPr>
            <w:vMerge w:val="continue"/>
          </w:tcPr>
          <w:p/>
        </w:tc>
        <w:tc>
          <w:tcPr>
            <w:tcW w:w="1644" w:type="dxa"/>
            <w:vAlign w:val="center"/>
          </w:tcPr>
          <w:p>
            <w:pPr>
              <w:pStyle w:val="0"/>
              <w:jc w:val="center"/>
            </w:pPr>
            <w:r>
              <w:rPr>
                <w:sz w:val="24"/>
              </w:rPr>
              <w:t xml:space="preserve">Вызовов скорой специализированной помощи</w:t>
            </w:r>
          </w:p>
        </w:tc>
        <w:tc>
          <w:tcPr>
            <w:tcW w:w="1304" w:type="dxa"/>
          </w:tcPr>
          <w:p>
            <w:pPr>
              <w:pStyle w:val="0"/>
            </w:pPr>
            <w:r>
              <w:rPr>
                <w:sz w:val="24"/>
              </w:rPr>
            </w:r>
          </w:p>
        </w:tc>
        <w:tc>
          <w:tcPr>
            <w:tcW w:w="1134" w:type="dxa"/>
          </w:tcPr>
          <w:p>
            <w:pPr>
              <w:pStyle w:val="0"/>
            </w:pPr>
            <w:r>
              <w:rPr>
                <w:sz w:val="24"/>
              </w:rPr>
            </w:r>
          </w:p>
        </w:tc>
        <w:tc>
          <w:tcPr>
            <w:tcW w:w="964" w:type="dxa"/>
          </w:tcPr>
          <w:p>
            <w:pPr>
              <w:pStyle w:val="0"/>
            </w:pPr>
            <w:r>
              <w:rPr>
                <w:sz w:val="24"/>
              </w:rPr>
            </w:r>
          </w:p>
        </w:tc>
      </w:tr>
      <w:tr>
        <w:tc>
          <w:tcPr>
            <w:tcW w:w="567" w:type="dxa"/>
          </w:tcPr>
          <w:p>
            <w:pPr>
              <w:pStyle w:val="0"/>
            </w:pPr>
            <w:r>
              <w:rPr>
                <w:sz w:val="24"/>
              </w:rPr>
            </w:r>
          </w:p>
        </w:tc>
        <w:tc>
          <w:tcPr>
            <w:vMerge w:val="continue"/>
          </w:tcPr>
          <w:p/>
        </w:tc>
        <w:tc>
          <w:tcPr>
            <w:vMerge w:val="continue"/>
          </w:tcPr>
          <w:p/>
        </w:tc>
        <w:tc>
          <w:tcPr>
            <w:tcW w:w="1644" w:type="dxa"/>
            <w:vAlign w:val="center"/>
          </w:tcPr>
          <w:p>
            <w:pPr>
              <w:pStyle w:val="0"/>
              <w:jc w:val="center"/>
            </w:pPr>
            <w:r>
              <w:rPr>
                <w:sz w:val="24"/>
              </w:rPr>
              <w:t xml:space="preserve">Медицинская транспортировка</w:t>
            </w:r>
          </w:p>
        </w:tc>
        <w:tc>
          <w:tcPr>
            <w:tcW w:w="1304" w:type="dxa"/>
          </w:tcPr>
          <w:p>
            <w:pPr>
              <w:pStyle w:val="0"/>
            </w:pPr>
            <w:r>
              <w:rPr>
                <w:sz w:val="24"/>
              </w:rPr>
            </w:r>
          </w:p>
        </w:tc>
        <w:tc>
          <w:tcPr>
            <w:tcW w:w="1134" w:type="dxa"/>
          </w:tcPr>
          <w:p>
            <w:pPr>
              <w:pStyle w:val="0"/>
            </w:pPr>
            <w:r>
              <w:rPr>
                <w:sz w:val="24"/>
              </w:rPr>
            </w:r>
          </w:p>
        </w:tc>
        <w:tc>
          <w:tcPr>
            <w:tcW w:w="964" w:type="dxa"/>
          </w:tcPr>
          <w:p>
            <w:pPr>
              <w:pStyle w:val="0"/>
            </w:pPr>
            <w:r>
              <w:rPr>
                <w:sz w:val="24"/>
              </w:rPr>
            </w:r>
          </w:p>
        </w:tc>
      </w:tr>
      <w:tr>
        <w:tc>
          <w:tcPr>
            <w:tcW w:w="567" w:type="dxa"/>
          </w:tcPr>
          <w:p>
            <w:pPr>
              <w:pStyle w:val="0"/>
            </w:pPr>
            <w:r>
              <w:rPr>
                <w:sz w:val="24"/>
              </w:rPr>
            </w:r>
          </w:p>
        </w:tc>
        <w:tc>
          <w:tcPr>
            <w:vMerge w:val="continue"/>
          </w:tcPr>
          <w:p/>
        </w:tc>
        <w:tc>
          <w:tcPr>
            <w:vMerge w:val="continue"/>
          </w:tcPr>
          <w:p/>
        </w:tc>
        <w:tc>
          <w:tcPr>
            <w:tcW w:w="1644" w:type="dxa"/>
            <w:vAlign w:val="center"/>
          </w:tcPr>
          <w:p>
            <w:pPr>
              <w:pStyle w:val="0"/>
              <w:jc w:val="center"/>
            </w:pPr>
            <w:r>
              <w:rPr>
                <w:sz w:val="24"/>
              </w:rPr>
              <w:t xml:space="preserve">Иные вызовы скорой помощи</w:t>
            </w:r>
          </w:p>
        </w:tc>
        <w:tc>
          <w:tcPr>
            <w:tcW w:w="1304" w:type="dxa"/>
          </w:tcPr>
          <w:p>
            <w:pPr>
              <w:pStyle w:val="0"/>
            </w:pPr>
            <w:r>
              <w:rPr>
                <w:sz w:val="24"/>
              </w:rPr>
            </w:r>
          </w:p>
        </w:tc>
        <w:tc>
          <w:tcPr>
            <w:tcW w:w="1134" w:type="dxa"/>
          </w:tcPr>
          <w:p>
            <w:pPr>
              <w:pStyle w:val="0"/>
            </w:pPr>
            <w:r>
              <w:rPr>
                <w:sz w:val="24"/>
              </w:rPr>
            </w:r>
          </w:p>
        </w:tc>
        <w:tc>
          <w:tcPr>
            <w:tcW w:w="964" w:type="dxa"/>
          </w:tcPr>
          <w:p>
            <w:pPr>
              <w:pStyle w:val="0"/>
            </w:pPr>
            <w:r>
              <w:rPr>
                <w:sz w:val="24"/>
              </w:rPr>
            </w:r>
          </w:p>
        </w:tc>
      </w:tr>
      <w:tr>
        <w:tc>
          <w:tcPr>
            <w:tcW w:w="567" w:type="dxa"/>
          </w:tcPr>
          <w:p>
            <w:pPr>
              <w:pStyle w:val="0"/>
            </w:pPr>
            <w:r>
              <w:rPr>
                <w:sz w:val="24"/>
              </w:rPr>
            </w:r>
          </w:p>
        </w:tc>
        <w:tc>
          <w:tcPr>
            <w:tcW w:w="1304" w:type="dxa"/>
          </w:tcPr>
          <w:p>
            <w:pPr>
              <w:pStyle w:val="0"/>
            </w:pPr>
            <w:r>
              <w:rPr>
                <w:sz w:val="24"/>
              </w:rPr>
            </w:r>
          </w:p>
        </w:tc>
        <w:tc>
          <w:tcPr>
            <w:tcW w:w="2154" w:type="dxa"/>
          </w:tcPr>
          <w:p>
            <w:pPr>
              <w:pStyle w:val="0"/>
            </w:pPr>
            <w:r>
              <w:rPr>
                <w:sz w:val="24"/>
              </w:rPr>
            </w:r>
          </w:p>
        </w:tc>
        <w:tc>
          <w:tcPr>
            <w:tcW w:w="1644" w:type="dxa"/>
            <w:vAlign w:val="center"/>
          </w:tcPr>
          <w:p>
            <w:pPr>
              <w:pStyle w:val="0"/>
              <w:jc w:val="center"/>
            </w:pPr>
            <w:r>
              <w:rPr>
                <w:sz w:val="24"/>
              </w:rPr>
              <w:t xml:space="preserve">Всего</w:t>
            </w:r>
          </w:p>
        </w:tc>
        <w:tc>
          <w:tcPr>
            <w:tcW w:w="1304" w:type="dxa"/>
          </w:tcPr>
          <w:p>
            <w:pPr>
              <w:pStyle w:val="0"/>
            </w:pPr>
            <w:r>
              <w:rPr>
                <w:sz w:val="24"/>
              </w:rPr>
            </w:r>
          </w:p>
        </w:tc>
        <w:tc>
          <w:tcPr>
            <w:tcW w:w="1134" w:type="dxa"/>
          </w:tcPr>
          <w:p>
            <w:pPr>
              <w:pStyle w:val="0"/>
            </w:pPr>
            <w:r>
              <w:rPr>
                <w:sz w:val="24"/>
              </w:rPr>
            </w:r>
          </w:p>
        </w:tc>
        <w:tc>
          <w:tcPr>
            <w:tcW w:w="964" w:type="dxa"/>
          </w:tcPr>
          <w:p>
            <w:pPr>
              <w:pStyle w:val="0"/>
            </w:pPr>
            <w:r>
              <w:rPr>
                <w:sz w:val="24"/>
              </w:rPr>
            </w:r>
          </w:p>
        </w:tc>
      </w:tr>
    </w:tbl>
    <w:p>
      <w:pPr>
        <w:pStyle w:val="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567"/>
        <w:gridCol w:w="1304"/>
        <w:gridCol w:w="3798"/>
        <w:gridCol w:w="1928"/>
        <w:gridCol w:w="1474"/>
      </w:tblGrid>
      <w:tr>
        <w:tblPrEx>
          <w:tblBorders>
            <w:left w:val="nil"/>
            <w:right w:val="nil"/>
          </w:tblBorders>
        </w:tblPrEx>
        <w:tc>
          <w:tcPr>
            <w:gridSpan w:val="5"/>
            <w:tcW w:w="9071" w:type="dxa"/>
            <w:tcBorders>
              <w:left w:val="nil"/>
              <w:right w:val="nil"/>
            </w:tcBorders>
          </w:tcPr>
          <w:p>
            <w:pPr>
              <w:pStyle w:val="0"/>
              <w:outlineLvl w:val="3"/>
              <w:ind w:firstLine="283"/>
              <w:jc w:val="both"/>
            </w:pPr>
            <w:r>
              <w:rPr>
                <w:sz w:val="24"/>
              </w:rPr>
              <w:t xml:space="preserve">Прикрепленное население.</w:t>
            </w:r>
          </w:p>
        </w:tc>
      </w:tr>
      <w:tr>
        <w:tc>
          <w:tcPr>
            <w:tcW w:w="567" w:type="dxa"/>
          </w:tcPr>
          <w:p>
            <w:pPr>
              <w:pStyle w:val="0"/>
              <w:jc w:val="center"/>
            </w:pPr>
            <w:r>
              <w:rPr>
                <w:sz w:val="24"/>
              </w:rPr>
              <w:t xml:space="preserve">N пп</w:t>
            </w:r>
          </w:p>
        </w:tc>
        <w:tc>
          <w:tcPr>
            <w:tcW w:w="1304" w:type="dxa"/>
          </w:tcPr>
          <w:p>
            <w:pPr>
              <w:pStyle w:val="0"/>
              <w:jc w:val="center"/>
            </w:pPr>
            <w:r>
              <w:rPr>
                <w:sz w:val="24"/>
              </w:rPr>
              <w:t xml:space="preserve">Адрес оказания медицинской помощи</w:t>
            </w:r>
          </w:p>
        </w:tc>
        <w:tc>
          <w:tcPr>
            <w:tcW w:w="3798" w:type="dxa"/>
          </w:tcPr>
          <w:p>
            <w:pPr>
              <w:pStyle w:val="0"/>
              <w:jc w:val="center"/>
            </w:pPr>
            <w:r>
              <w:rPr>
                <w:sz w:val="24"/>
              </w:rPr>
              <w:t xml:space="preserve">Краткое наименование структурного подразделения (обособленного структурного подразделения)</w:t>
            </w:r>
          </w:p>
        </w:tc>
        <w:tc>
          <w:tcPr>
            <w:tcW w:w="1928" w:type="dxa"/>
          </w:tcPr>
          <w:p>
            <w:pPr>
              <w:pStyle w:val="0"/>
              <w:jc w:val="center"/>
            </w:pPr>
            <w:r>
              <w:rPr>
                <w:sz w:val="24"/>
              </w:rPr>
              <w:t xml:space="preserve">Половозрастные группы</w:t>
            </w:r>
          </w:p>
        </w:tc>
        <w:tc>
          <w:tcPr>
            <w:tcW w:w="1474" w:type="dxa"/>
          </w:tcPr>
          <w:p>
            <w:pPr>
              <w:pStyle w:val="0"/>
              <w:jc w:val="center"/>
            </w:pPr>
            <w:r>
              <w:rPr>
                <w:sz w:val="24"/>
              </w:rPr>
              <w:t xml:space="preserve">Количество</w:t>
            </w:r>
          </w:p>
        </w:tc>
      </w:tr>
      <w:tr>
        <w:tc>
          <w:tcPr>
            <w:tcW w:w="567" w:type="dxa"/>
          </w:tcPr>
          <w:p>
            <w:pPr>
              <w:pStyle w:val="0"/>
            </w:pPr>
            <w:r>
              <w:rPr>
                <w:sz w:val="24"/>
              </w:rPr>
            </w:r>
          </w:p>
        </w:tc>
        <w:tc>
          <w:tcPr>
            <w:tcW w:w="1304" w:type="dxa"/>
            <w:vMerge w:val="restart"/>
          </w:tcPr>
          <w:p>
            <w:pPr>
              <w:pStyle w:val="0"/>
            </w:pPr>
            <w:r>
              <w:rPr>
                <w:sz w:val="24"/>
              </w:rPr>
            </w:r>
          </w:p>
        </w:tc>
        <w:tc>
          <w:tcPr>
            <w:tcW w:w="3798" w:type="dxa"/>
            <w:vMerge w:val="restart"/>
          </w:tcPr>
          <w:p>
            <w:pPr>
              <w:pStyle w:val="0"/>
            </w:pPr>
            <w:r>
              <w:rPr>
                <w:sz w:val="24"/>
              </w:rPr>
              <w:t xml:space="preserve">-</w:t>
            </w:r>
          </w:p>
        </w:tc>
        <w:tc>
          <w:tcPr>
            <w:tcW w:w="1928" w:type="dxa"/>
            <w:vAlign w:val="center"/>
          </w:tcPr>
          <w:p>
            <w:pPr>
              <w:pStyle w:val="0"/>
              <w:jc w:val="center"/>
            </w:pPr>
            <w:r>
              <w:rPr>
                <w:sz w:val="24"/>
              </w:rPr>
              <w:t xml:space="preserve">Мужчины (18 - 59)</w:t>
            </w:r>
          </w:p>
        </w:tc>
        <w:tc>
          <w:tcPr>
            <w:tcW w:w="1474" w:type="dxa"/>
            <w:vAlign w:val="center"/>
          </w:tcPr>
          <w:p>
            <w:pPr>
              <w:pStyle w:val="0"/>
              <w:jc w:val="center"/>
            </w:pPr>
            <w:r>
              <w:rPr>
                <w:sz w:val="24"/>
              </w:rPr>
              <w:t xml:space="preserve">0</w:t>
            </w:r>
          </w:p>
        </w:tc>
      </w:tr>
      <w:tr>
        <w:tc>
          <w:tcPr>
            <w:tcW w:w="567" w:type="dxa"/>
          </w:tcPr>
          <w:p>
            <w:pPr>
              <w:pStyle w:val="0"/>
            </w:pPr>
            <w:r>
              <w:rPr>
                <w:sz w:val="24"/>
              </w:rPr>
            </w:r>
          </w:p>
        </w:tc>
        <w:tc>
          <w:tcPr>
            <w:vMerge w:val="continue"/>
          </w:tcPr>
          <w:p/>
        </w:tc>
        <w:tc>
          <w:tcPr>
            <w:vMerge w:val="continue"/>
          </w:tcPr>
          <w:p/>
        </w:tc>
        <w:tc>
          <w:tcPr>
            <w:tcW w:w="1928" w:type="dxa"/>
            <w:vAlign w:val="center"/>
          </w:tcPr>
          <w:p>
            <w:pPr>
              <w:pStyle w:val="0"/>
              <w:jc w:val="center"/>
            </w:pPr>
            <w:r>
              <w:rPr>
                <w:sz w:val="24"/>
              </w:rPr>
              <w:t xml:space="preserve">Мужчины (от 60)</w:t>
            </w:r>
          </w:p>
        </w:tc>
        <w:tc>
          <w:tcPr>
            <w:tcW w:w="1474" w:type="dxa"/>
            <w:vAlign w:val="center"/>
          </w:tcPr>
          <w:p>
            <w:pPr>
              <w:pStyle w:val="0"/>
              <w:jc w:val="center"/>
            </w:pPr>
            <w:r>
              <w:rPr>
                <w:sz w:val="24"/>
              </w:rPr>
              <w:t xml:space="preserve">0</w:t>
            </w:r>
          </w:p>
        </w:tc>
      </w:tr>
      <w:tr>
        <w:tc>
          <w:tcPr>
            <w:tcW w:w="567" w:type="dxa"/>
          </w:tcPr>
          <w:p>
            <w:pPr>
              <w:pStyle w:val="0"/>
            </w:pPr>
            <w:r>
              <w:rPr>
                <w:sz w:val="24"/>
              </w:rPr>
            </w:r>
          </w:p>
        </w:tc>
        <w:tc>
          <w:tcPr>
            <w:vMerge w:val="continue"/>
          </w:tcPr>
          <w:p/>
        </w:tc>
        <w:tc>
          <w:tcPr>
            <w:vMerge w:val="continue"/>
          </w:tcPr>
          <w:p/>
        </w:tc>
        <w:tc>
          <w:tcPr>
            <w:tcW w:w="1928" w:type="dxa"/>
            <w:vAlign w:val="center"/>
          </w:tcPr>
          <w:p>
            <w:pPr>
              <w:pStyle w:val="0"/>
              <w:jc w:val="center"/>
            </w:pPr>
            <w:r>
              <w:rPr>
                <w:sz w:val="24"/>
              </w:rPr>
              <w:t xml:space="preserve">Женщины (18 - 54)</w:t>
            </w:r>
          </w:p>
        </w:tc>
        <w:tc>
          <w:tcPr>
            <w:tcW w:w="1474" w:type="dxa"/>
            <w:vAlign w:val="center"/>
          </w:tcPr>
          <w:p>
            <w:pPr>
              <w:pStyle w:val="0"/>
              <w:jc w:val="center"/>
            </w:pPr>
            <w:r>
              <w:rPr>
                <w:sz w:val="24"/>
              </w:rPr>
              <w:t xml:space="preserve">0</w:t>
            </w:r>
          </w:p>
        </w:tc>
      </w:tr>
      <w:tr>
        <w:tc>
          <w:tcPr>
            <w:tcW w:w="567" w:type="dxa"/>
          </w:tcPr>
          <w:p>
            <w:pPr>
              <w:pStyle w:val="0"/>
            </w:pPr>
            <w:r>
              <w:rPr>
                <w:sz w:val="24"/>
              </w:rPr>
            </w:r>
          </w:p>
        </w:tc>
        <w:tc>
          <w:tcPr>
            <w:vMerge w:val="continue"/>
          </w:tcPr>
          <w:p/>
        </w:tc>
        <w:tc>
          <w:tcPr>
            <w:vMerge w:val="continue"/>
          </w:tcPr>
          <w:p/>
        </w:tc>
        <w:tc>
          <w:tcPr>
            <w:tcW w:w="1928" w:type="dxa"/>
            <w:vAlign w:val="center"/>
          </w:tcPr>
          <w:p>
            <w:pPr>
              <w:pStyle w:val="0"/>
              <w:jc w:val="center"/>
            </w:pPr>
            <w:r>
              <w:rPr>
                <w:sz w:val="24"/>
              </w:rPr>
              <w:t xml:space="preserve">Женщины (от 55)</w:t>
            </w:r>
          </w:p>
        </w:tc>
        <w:tc>
          <w:tcPr>
            <w:tcW w:w="1474" w:type="dxa"/>
            <w:vAlign w:val="center"/>
          </w:tcPr>
          <w:p>
            <w:pPr>
              <w:pStyle w:val="0"/>
              <w:jc w:val="center"/>
            </w:pPr>
            <w:r>
              <w:rPr>
                <w:sz w:val="24"/>
              </w:rPr>
              <w:t xml:space="preserve">0</w:t>
            </w:r>
          </w:p>
        </w:tc>
      </w:tr>
      <w:tr>
        <w:tc>
          <w:tcPr>
            <w:tcW w:w="567" w:type="dxa"/>
          </w:tcPr>
          <w:p>
            <w:pPr>
              <w:pStyle w:val="0"/>
            </w:pPr>
            <w:r>
              <w:rPr>
                <w:sz w:val="24"/>
              </w:rPr>
            </w:r>
          </w:p>
        </w:tc>
        <w:tc>
          <w:tcPr>
            <w:vMerge w:val="continue"/>
          </w:tcPr>
          <w:p/>
        </w:tc>
        <w:tc>
          <w:tcPr>
            <w:vMerge w:val="continue"/>
          </w:tcPr>
          <w:p/>
        </w:tc>
        <w:tc>
          <w:tcPr>
            <w:tcW w:w="1928" w:type="dxa"/>
            <w:vAlign w:val="center"/>
          </w:tcPr>
          <w:p>
            <w:pPr>
              <w:pStyle w:val="0"/>
              <w:jc w:val="center"/>
            </w:pPr>
            <w:r>
              <w:rPr>
                <w:sz w:val="24"/>
              </w:rPr>
              <w:t xml:space="preserve">Дети (0 - 4)</w:t>
            </w:r>
          </w:p>
        </w:tc>
        <w:tc>
          <w:tcPr>
            <w:tcW w:w="1474" w:type="dxa"/>
            <w:vAlign w:val="center"/>
          </w:tcPr>
          <w:p>
            <w:pPr>
              <w:pStyle w:val="0"/>
              <w:jc w:val="center"/>
            </w:pPr>
            <w:r>
              <w:rPr>
                <w:sz w:val="24"/>
              </w:rPr>
              <w:t xml:space="preserve">0</w:t>
            </w:r>
          </w:p>
        </w:tc>
      </w:tr>
      <w:tr>
        <w:tc>
          <w:tcPr>
            <w:tcW w:w="567" w:type="dxa"/>
          </w:tcPr>
          <w:p>
            <w:pPr>
              <w:pStyle w:val="0"/>
            </w:pPr>
            <w:r>
              <w:rPr>
                <w:sz w:val="24"/>
              </w:rPr>
            </w:r>
          </w:p>
        </w:tc>
        <w:tc>
          <w:tcPr>
            <w:vMerge w:val="continue"/>
          </w:tcPr>
          <w:p/>
        </w:tc>
        <w:tc>
          <w:tcPr>
            <w:vMerge w:val="continue"/>
          </w:tcPr>
          <w:p/>
        </w:tc>
        <w:tc>
          <w:tcPr>
            <w:tcW w:w="1928" w:type="dxa"/>
            <w:vAlign w:val="center"/>
          </w:tcPr>
          <w:p>
            <w:pPr>
              <w:pStyle w:val="0"/>
              <w:jc w:val="center"/>
            </w:pPr>
            <w:r>
              <w:rPr>
                <w:sz w:val="24"/>
              </w:rPr>
              <w:t xml:space="preserve">Дети (5 - 17)</w:t>
            </w:r>
          </w:p>
        </w:tc>
        <w:tc>
          <w:tcPr>
            <w:tcW w:w="1474" w:type="dxa"/>
            <w:vAlign w:val="center"/>
          </w:tcPr>
          <w:p>
            <w:pPr>
              <w:pStyle w:val="0"/>
              <w:jc w:val="center"/>
            </w:pPr>
            <w:r>
              <w:rPr>
                <w:sz w:val="24"/>
              </w:rPr>
              <w:t xml:space="preserve">0</w:t>
            </w:r>
          </w:p>
        </w:tc>
      </w:tr>
      <w:tr>
        <w:tc>
          <w:tcPr>
            <w:tcW w:w="567" w:type="dxa"/>
          </w:tcPr>
          <w:p>
            <w:pPr>
              <w:pStyle w:val="0"/>
            </w:pPr>
            <w:r>
              <w:rPr>
                <w:sz w:val="24"/>
              </w:rPr>
            </w:r>
          </w:p>
        </w:tc>
        <w:tc>
          <w:tcPr>
            <w:tcW w:w="1304" w:type="dxa"/>
          </w:tcPr>
          <w:p>
            <w:pPr>
              <w:pStyle w:val="0"/>
            </w:pPr>
            <w:r>
              <w:rPr>
                <w:sz w:val="24"/>
              </w:rPr>
            </w:r>
          </w:p>
        </w:tc>
        <w:tc>
          <w:tcPr>
            <w:tcW w:w="3798" w:type="dxa"/>
          </w:tcPr>
          <w:p>
            <w:pPr>
              <w:pStyle w:val="0"/>
            </w:pPr>
            <w:r>
              <w:rPr>
                <w:sz w:val="24"/>
              </w:rPr>
            </w:r>
          </w:p>
        </w:tc>
        <w:tc>
          <w:tcPr>
            <w:tcW w:w="1928" w:type="dxa"/>
            <w:vAlign w:val="center"/>
          </w:tcPr>
          <w:p>
            <w:pPr>
              <w:pStyle w:val="0"/>
              <w:jc w:val="center"/>
            </w:pPr>
            <w:r>
              <w:rPr>
                <w:sz w:val="24"/>
              </w:rPr>
              <w:t xml:space="preserve">Всего</w:t>
            </w:r>
          </w:p>
        </w:tc>
        <w:tc>
          <w:tcPr>
            <w:tcW w:w="1474" w:type="dxa"/>
            <w:vAlign w:val="center"/>
          </w:tcPr>
          <w:p>
            <w:pPr>
              <w:pStyle w:val="0"/>
              <w:jc w:val="center"/>
            </w:pPr>
            <w:r>
              <w:rPr>
                <w:sz w:val="24"/>
              </w:rPr>
              <w:t xml:space="preserve">0</w:t>
            </w:r>
          </w:p>
        </w:tc>
      </w:tr>
    </w:tbl>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2"/>
        <w:jc w:val="right"/>
      </w:pPr>
      <w:r>
        <w:rPr>
          <w:sz w:val="24"/>
        </w:rPr>
        <w:t xml:space="preserve">Приложение N 8</w:t>
      </w:r>
    </w:p>
    <w:p>
      <w:pPr>
        <w:pStyle w:val="0"/>
        <w:jc w:val="right"/>
      </w:pPr>
      <w:r>
        <w:rPr>
          <w:sz w:val="24"/>
        </w:rPr>
        <w:t xml:space="preserve">к уведомлению о включении медицинской</w:t>
      </w:r>
    </w:p>
    <w:p>
      <w:pPr>
        <w:pStyle w:val="0"/>
        <w:jc w:val="right"/>
      </w:pPr>
      <w:r>
        <w:rPr>
          <w:sz w:val="24"/>
        </w:rPr>
        <w:t xml:space="preserve">организации в реестр медицинских</w:t>
      </w:r>
    </w:p>
    <w:p>
      <w:pPr>
        <w:pStyle w:val="0"/>
        <w:jc w:val="right"/>
      </w:pPr>
      <w:r>
        <w:rPr>
          <w:sz w:val="24"/>
        </w:rPr>
        <w:t xml:space="preserve">организаций, осуществляющих деятельность</w:t>
      </w:r>
    </w:p>
    <w:p>
      <w:pPr>
        <w:pStyle w:val="0"/>
        <w:jc w:val="right"/>
      </w:pPr>
      <w:r>
        <w:rPr>
          <w:sz w:val="24"/>
        </w:rPr>
        <w:t xml:space="preserve">в сфере обязательного медицинского</w:t>
      </w:r>
    </w:p>
    <w:p>
      <w:pPr>
        <w:pStyle w:val="0"/>
        <w:jc w:val="right"/>
      </w:pPr>
      <w:r>
        <w:rPr>
          <w:sz w:val="24"/>
        </w:rPr>
        <w:t xml:space="preserve">страхования по территориальной</w:t>
      </w:r>
    </w:p>
    <w:p>
      <w:pPr>
        <w:pStyle w:val="0"/>
        <w:jc w:val="right"/>
      </w:pPr>
      <w:r>
        <w:rPr>
          <w:sz w:val="24"/>
        </w:rPr>
        <w:t xml:space="preserve">программе обязательного</w:t>
      </w:r>
    </w:p>
    <w:p>
      <w:pPr>
        <w:pStyle w:val="0"/>
        <w:jc w:val="right"/>
      </w:pPr>
      <w:r>
        <w:rPr>
          <w:sz w:val="24"/>
        </w:rPr>
        <w:t xml:space="preserve">медицинского страхования</w:t>
      </w:r>
    </w:p>
    <w:p>
      <w:pPr>
        <w:pStyle w:val="0"/>
        <w:jc w:val="both"/>
      </w:pPr>
      <w:r>
        <w:rPr>
          <w:sz w:val="24"/>
        </w:rPr>
      </w:r>
    </w:p>
    <w:p>
      <w:pPr>
        <w:pStyle w:val="0"/>
        <w:jc w:val="center"/>
      </w:pPr>
      <w:r>
        <w:rPr>
          <w:sz w:val="24"/>
        </w:rPr>
        <w:t xml:space="preserve">Сведения</w:t>
      </w:r>
    </w:p>
    <w:p>
      <w:pPr>
        <w:pStyle w:val="0"/>
        <w:jc w:val="center"/>
      </w:pPr>
      <w:r>
        <w:rPr>
          <w:sz w:val="24"/>
        </w:rPr>
        <w:t xml:space="preserve">о фактически выполненных медицинской организацией объемах</w:t>
      </w:r>
    </w:p>
    <w:p>
      <w:pPr>
        <w:pStyle w:val="0"/>
        <w:jc w:val="center"/>
      </w:pPr>
      <w:r>
        <w:rPr>
          <w:sz w:val="24"/>
        </w:rPr>
        <w:t xml:space="preserve">медицинских помощи и ее финансового обеспечения в рамках</w:t>
      </w:r>
    </w:p>
    <w:p>
      <w:pPr>
        <w:pStyle w:val="0"/>
        <w:jc w:val="center"/>
      </w:pPr>
      <w:r>
        <w:rPr>
          <w:sz w:val="24"/>
        </w:rPr>
        <w:t xml:space="preserve">реализации территориальной программы за периоды,</w:t>
      </w:r>
    </w:p>
    <w:p>
      <w:pPr>
        <w:pStyle w:val="0"/>
        <w:jc w:val="center"/>
      </w:pPr>
      <w:r>
        <w:rPr>
          <w:sz w:val="24"/>
        </w:rPr>
        <w:t xml:space="preserve">предшествующие плановому периоду, сформированные</w:t>
      </w:r>
    </w:p>
    <w:p>
      <w:pPr>
        <w:pStyle w:val="0"/>
        <w:jc w:val="center"/>
      </w:pPr>
      <w:r>
        <w:rPr>
          <w:sz w:val="24"/>
        </w:rPr>
        <w:t xml:space="preserve">на основе отчетности, формируемой медицинской</w:t>
      </w:r>
    </w:p>
    <w:p>
      <w:pPr>
        <w:pStyle w:val="0"/>
        <w:jc w:val="center"/>
      </w:pPr>
      <w:r>
        <w:rPr>
          <w:sz w:val="24"/>
        </w:rPr>
        <w:t xml:space="preserve">организацией и территориальным фондом</w:t>
      </w:r>
    </w:p>
    <w:p>
      <w:pPr>
        <w:pStyle w:val="0"/>
        <w:jc w:val="both"/>
      </w:pPr>
      <w:r>
        <w:rPr>
          <w:sz w:val="24"/>
        </w:rPr>
      </w:r>
    </w:p>
    <w:tbl>
      <w:tblPr>
        <w:tblInd w:w="0" w:type="dxa"/>
        <w:tblLayout w:type="fixed"/>
        <w:tblCellMar>
          <w:top w:w="102" w:type="dxa"/>
          <w:left w:w="62" w:type="dxa"/>
          <w:bottom w:w="102" w:type="dxa"/>
          <w:right w:w="62" w:type="dxa"/>
        </w:tblCellMar>
      </w:tblPr>
      <w:tblGrid>
        <w:gridCol w:w="2267"/>
        <w:gridCol w:w="1190"/>
        <w:gridCol w:w="340"/>
        <w:gridCol w:w="5272"/>
      </w:tblGrid>
      <w:tr>
        <w:tc>
          <w:tcPr>
            <w:tcW w:w="2267" w:type="dxa"/>
            <w:vAlign w:val="bottom"/>
            <w:tcBorders>
              <w:top w:val="nil"/>
              <w:left w:val="nil"/>
              <w:bottom w:val="nil"/>
              <w:right w:val="nil"/>
            </w:tcBorders>
          </w:tcPr>
          <w:p>
            <w:pPr>
              <w:pStyle w:val="0"/>
              <w:ind w:firstLine="283"/>
              <w:jc w:val="both"/>
            </w:pPr>
            <w:r>
              <w:rPr>
                <w:sz w:val="24"/>
              </w:rPr>
              <w:t xml:space="preserve">N уведомления</w:t>
            </w:r>
          </w:p>
        </w:tc>
        <w:tc>
          <w:tcPr>
            <w:tcW w:w="1190" w:type="dxa"/>
            <w:tcBorders>
              <w:top w:val="nil"/>
              <w:left w:val="nil"/>
              <w:bottom w:val="single" w:sz="4"/>
              <w:right w:val="nil"/>
            </w:tcBorders>
          </w:tcPr>
          <w:p>
            <w:pPr>
              <w:pStyle w:val="0"/>
            </w:pPr>
            <w:r>
              <w:rPr>
                <w:sz w:val="24"/>
              </w:rPr>
            </w:r>
          </w:p>
        </w:tc>
        <w:tc>
          <w:tcPr>
            <w:tcW w:w="340" w:type="dxa"/>
            <w:tcBorders>
              <w:top w:val="nil"/>
              <w:left w:val="nil"/>
              <w:bottom w:val="nil"/>
              <w:right w:val="nil"/>
            </w:tcBorders>
          </w:tcPr>
          <w:p>
            <w:pPr>
              <w:pStyle w:val="0"/>
            </w:pPr>
            <w:r>
              <w:rPr>
                <w:sz w:val="24"/>
              </w:rPr>
            </w:r>
          </w:p>
        </w:tc>
        <w:tc>
          <w:tcPr>
            <w:tcW w:w="5272" w:type="dxa"/>
            <w:tcBorders>
              <w:top w:val="nil"/>
              <w:left w:val="nil"/>
              <w:bottom w:val="single" w:sz="4"/>
              <w:right w:val="nil"/>
            </w:tcBorders>
          </w:tcPr>
          <w:p>
            <w:pPr>
              <w:pStyle w:val="0"/>
            </w:pPr>
            <w:r>
              <w:rPr>
                <w:sz w:val="24"/>
              </w:rPr>
            </w:r>
          </w:p>
        </w:tc>
      </w:tr>
      <w:tr>
        <w:tc>
          <w:tcPr>
            <w:gridSpan w:val="2"/>
            <w:tcW w:w="3457" w:type="dxa"/>
            <w:tcBorders>
              <w:top w:val="nil"/>
              <w:left w:val="nil"/>
              <w:bottom w:val="nil"/>
              <w:right w:val="nil"/>
            </w:tcBorders>
          </w:tcPr>
          <w:p>
            <w:pPr>
              <w:pStyle w:val="0"/>
            </w:pPr>
            <w:r>
              <w:rPr>
                <w:sz w:val="24"/>
              </w:rPr>
            </w:r>
          </w:p>
        </w:tc>
        <w:tc>
          <w:tcPr>
            <w:tcW w:w="340" w:type="dxa"/>
            <w:tcBorders>
              <w:top w:val="nil"/>
              <w:left w:val="nil"/>
              <w:bottom w:val="nil"/>
              <w:right w:val="nil"/>
            </w:tcBorders>
          </w:tcPr>
          <w:p>
            <w:pPr>
              <w:pStyle w:val="0"/>
            </w:pPr>
            <w:r>
              <w:rPr>
                <w:sz w:val="24"/>
              </w:rPr>
            </w:r>
          </w:p>
        </w:tc>
        <w:tc>
          <w:tcPr>
            <w:tcW w:w="5272" w:type="dxa"/>
            <w:tcBorders>
              <w:top w:val="single" w:sz="4"/>
              <w:left w:val="nil"/>
              <w:bottom w:val="nil"/>
              <w:right w:val="nil"/>
            </w:tcBorders>
          </w:tcPr>
          <w:p>
            <w:pPr>
              <w:pStyle w:val="0"/>
              <w:jc w:val="center"/>
            </w:pPr>
            <w:r>
              <w:rPr>
                <w:sz w:val="24"/>
              </w:rPr>
              <w:t xml:space="preserve">(наименование медицинской организации)</w:t>
            </w:r>
          </w:p>
        </w:tc>
      </w:tr>
    </w:tbl>
    <w:p>
      <w:pPr>
        <w:pStyle w:val="0"/>
        <w:jc w:val="both"/>
      </w:pPr>
      <w:r>
        <w:rPr>
          <w:sz w:val="24"/>
        </w:rPr>
      </w:r>
    </w:p>
    <w:tbl>
      <w:tblPr>
        <w:tblInd w:w="0" w:type="dxa"/>
        <w:tblLayout w:type="fixed"/>
        <w:tblBorders>
          <w:left w:val="single" w:sz="4"/>
          <w:bottom w:val="single" w:sz="4"/>
          <w:right w:val="single" w:sz="4"/>
          <w:insideV w:val="single" w:sz="4"/>
          <w:insideH w:val="single" w:sz="4"/>
        </w:tblBorders>
        <w:tblCellMar>
          <w:top w:w="102" w:type="dxa"/>
          <w:left w:w="62" w:type="dxa"/>
          <w:bottom w:w="102" w:type="dxa"/>
          <w:right w:w="62" w:type="dxa"/>
        </w:tblCellMar>
      </w:tblPr>
      <w:tblGrid>
        <w:gridCol w:w="964"/>
        <w:gridCol w:w="510"/>
        <w:gridCol w:w="737"/>
        <w:gridCol w:w="1020"/>
        <w:gridCol w:w="964"/>
        <w:gridCol w:w="964"/>
        <w:gridCol w:w="964"/>
        <w:gridCol w:w="964"/>
        <w:gridCol w:w="1020"/>
        <w:gridCol w:w="964"/>
      </w:tblGrid>
      <w:tr>
        <w:tblPrEx>
          <w:tblBorders>
            <w:left w:val="nil"/>
            <w:right w:val="nil"/>
          </w:tblBorders>
        </w:tblPrEx>
        <w:tc>
          <w:tcPr>
            <w:gridSpan w:val="10"/>
            <w:tcW w:w="9071" w:type="dxa"/>
            <w:tcBorders>
              <w:top w:val="nil"/>
              <w:left w:val="nil"/>
              <w:right w:val="nil"/>
            </w:tcBorders>
          </w:tcPr>
          <w:p>
            <w:pPr>
              <w:pStyle w:val="0"/>
              <w:outlineLvl w:val="3"/>
              <w:ind w:left="283"/>
            </w:pPr>
            <w:r>
              <w:rPr>
                <w:sz w:val="24"/>
              </w:rPr>
              <w:t xml:space="preserve">Специализированная медицинская помощь. Стационарно. Без</w:t>
            </w:r>
          </w:p>
          <w:p>
            <w:pPr>
              <w:pStyle w:val="0"/>
              <w:ind w:left="283"/>
            </w:pPr>
            <w:r>
              <w:rPr>
                <w:sz w:val="24"/>
              </w:rPr>
              <w:t xml:space="preserve">высокотехнологичной медицинской помощи (далее - ВМП)</w:t>
            </w:r>
          </w:p>
        </w:tc>
      </w:tr>
      <w:tr>
        <w:tc>
          <w:tcPr>
            <w:tcW w:w="964" w:type="dxa"/>
          </w:tcPr>
          <w:p>
            <w:pPr>
              <w:pStyle w:val="0"/>
              <w:jc w:val="center"/>
            </w:pPr>
            <w:r>
              <w:rPr>
                <w:sz w:val="24"/>
              </w:rPr>
              <w:t xml:space="preserve">Год</w:t>
            </w:r>
          </w:p>
        </w:tc>
        <w:tc>
          <w:tcPr>
            <w:tcW w:w="510" w:type="dxa"/>
          </w:tcPr>
          <w:p>
            <w:pPr>
              <w:pStyle w:val="0"/>
              <w:jc w:val="center"/>
            </w:pPr>
            <w:r>
              <w:rPr>
                <w:sz w:val="24"/>
              </w:rPr>
              <w:t xml:space="preserve">N пп</w:t>
            </w:r>
          </w:p>
        </w:tc>
        <w:tc>
          <w:tcPr>
            <w:tcW w:w="737" w:type="dxa"/>
          </w:tcPr>
          <w:p>
            <w:pPr>
              <w:pStyle w:val="0"/>
              <w:jc w:val="center"/>
            </w:pPr>
            <w:r>
              <w:rPr>
                <w:sz w:val="24"/>
              </w:rPr>
              <w:t xml:space="preserve">Профиль медицинской помощи (Код)</w:t>
            </w:r>
          </w:p>
        </w:tc>
        <w:tc>
          <w:tcPr>
            <w:tcW w:w="1020" w:type="dxa"/>
          </w:tcPr>
          <w:p>
            <w:pPr>
              <w:pStyle w:val="0"/>
              <w:jc w:val="center"/>
            </w:pPr>
            <w:r>
              <w:rPr>
                <w:sz w:val="24"/>
              </w:rPr>
              <w:t xml:space="preserve">Профиль медицинской помощи (Наименование)</w:t>
            </w:r>
          </w:p>
        </w:tc>
        <w:tc>
          <w:tcPr>
            <w:tcW w:w="964" w:type="dxa"/>
          </w:tcPr>
          <w:p>
            <w:pPr>
              <w:pStyle w:val="0"/>
              <w:jc w:val="center"/>
            </w:pPr>
            <w:r>
              <w:rPr>
                <w:sz w:val="24"/>
              </w:rPr>
              <w:t xml:space="preserve">Клинико-профильная группа (КПГ)</w:t>
            </w:r>
          </w:p>
          <w:p>
            <w:pPr>
              <w:pStyle w:val="0"/>
              <w:jc w:val="center"/>
            </w:pPr>
            <w:r>
              <w:rPr>
                <w:sz w:val="24"/>
              </w:rPr>
              <w:t xml:space="preserve">(Код)</w:t>
            </w:r>
          </w:p>
        </w:tc>
        <w:tc>
          <w:tcPr>
            <w:tcW w:w="964" w:type="dxa"/>
          </w:tcPr>
          <w:p>
            <w:pPr>
              <w:pStyle w:val="0"/>
              <w:jc w:val="center"/>
            </w:pPr>
            <w:r>
              <w:rPr>
                <w:sz w:val="24"/>
              </w:rPr>
              <w:t xml:space="preserve">Клинико-профильная группа (КПГ)</w:t>
            </w:r>
          </w:p>
          <w:p>
            <w:pPr>
              <w:pStyle w:val="0"/>
              <w:jc w:val="center"/>
            </w:pPr>
            <w:r>
              <w:rPr>
                <w:sz w:val="24"/>
              </w:rPr>
              <w:t xml:space="preserve">(Наименование)</w:t>
            </w:r>
          </w:p>
        </w:tc>
        <w:tc>
          <w:tcPr>
            <w:tcW w:w="964" w:type="dxa"/>
          </w:tcPr>
          <w:p>
            <w:pPr>
              <w:pStyle w:val="0"/>
              <w:jc w:val="center"/>
            </w:pPr>
            <w:r>
              <w:rPr>
                <w:sz w:val="24"/>
              </w:rPr>
              <w:t xml:space="preserve">Клинико-статистическая группа (КСГ)</w:t>
            </w:r>
          </w:p>
          <w:p>
            <w:pPr>
              <w:pStyle w:val="0"/>
              <w:jc w:val="center"/>
            </w:pPr>
            <w:r>
              <w:rPr>
                <w:sz w:val="24"/>
              </w:rPr>
              <w:t xml:space="preserve">(Код)</w:t>
            </w:r>
          </w:p>
        </w:tc>
        <w:tc>
          <w:tcPr>
            <w:tcW w:w="964" w:type="dxa"/>
          </w:tcPr>
          <w:p>
            <w:pPr>
              <w:pStyle w:val="0"/>
              <w:jc w:val="center"/>
            </w:pPr>
            <w:r>
              <w:rPr>
                <w:sz w:val="24"/>
              </w:rPr>
              <w:t xml:space="preserve">Клинико-статистическая группа (КСГ)</w:t>
            </w:r>
          </w:p>
          <w:p>
            <w:pPr>
              <w:pStyle w:val="0"/>
              <w:jc w:val="center"/>
            </w:pPr>
            <w:r>
              <w:rPr>
                <w:sz w:val="24"/>
              </w:rPr>
              <w:t xml:space="preserve">(Наименование)</w:t>
            </w:r>
          </w:p>
        </w:tc>
        <w:tc>
          <w:tcPr>
            <w:tcW w:w="1020" w:type="dxa"/>
          </w:tcPr>
          <w:p>
            <w:pPr>
              <w:pStyle w:val="0"/>
              <w:jc w:val="center"/>
            </w:pPr>
            <w:r>
              <w:rPr>
                <w:sz w:val="24"/>
              </w:rPr>
              <w:t xml:space="preserve">Объем медицинской помощи (случай)</w:t>
            </w:r>
          </w:p>
        </w:tc>
        <w:tc>
          <w:tcPr>
            <w:tcW w:w="964" w:type="dxa"/>
          </w:tcPr>
          <w:p>
            <w:pPr>
              <w:pStyle w:val="0"/>
              <w:jc w:val="center"/>
            </w:pPr>
            <w:r>
              <w:rPr>
                <w:sz w:val="24"/>
              </w:rPr>
              <w:t xml:space="preserve">Объем финансового обеспечения медицинской помощи (руб.)</w:t>
            </w:r>
          </w:p>
        </w:tc>
      </w:tr>
      <w:tr>
        <w:tc>
          <w:tcPr>
            <w:tcW w:w="964" w:type="dxa"/>
            <w:vAlign w:val="center"/>
            <w:vMerge w:val="restart"/>
          </w:tcPr>
          <w:p>
            <w:pPr>
              <w:pStyle w:val="0"/>
              <w:jc w:val="center"/>
            </w:pPr>
            <w:r>
              <w:rPr>
                <w:sz w:val="24"/>
              </w:rPr>
              <w:t xml:space="preserve">Год участия - 3</w:t>
            </w:r>
          </w:p>
        </w:tc>
        <w:tc>
          <w:tcPr>
            <w:tcW w:w="510" w:type="dxa"/>
            <w:vAlign w:val="center"/>
          </w:tcPr>
          <w:p>
            <w:pPr>
              <w:pStyle w:val="0"/>
            </w:pPr>
            <w:r>
              <w:rPr>
                <w:sz w:val="24"/>
              </w:rPr>
            </w:r>
          </w:p>
        </w:tc>
        <w:tc>
          <w:tcPr>
            <w:tcW w:w="737" w:type="dxa"/>
            <w:vAlign w:val="center"/>
          </w:tcPr>
          <w:p>
            <w:pPr>
              <w:pStyle w:val="0"/>
            </w:pPr>
            <w:r>
              <w:rPr>
                <w:sz w:val="24"/>
              </w:rPr>
            </w:r>
          </w:p>
        </w:tc>
        <w:tc>
          <w:tcPr>
            <w:tcW w:w="1020" w:type="dxa"/>
            <w:vAlign w:val="center"/>
          </w:tcPr>
          <w:p>
            <w:pPr>
              <w:pStyle w:val="0"/>
            </w:pPr>
            <w:r>
              <w:rPr>
                <w:sz w:val="24"/>
              </w:rPr>
            </w:r>
          </w:p>
        </w:tc>
        <w:tc>
          <w:tcPr>
            <w:tcW w:w="964" w:type="dxa"/>
            <w:vAlign w:val="center"/>
          </w:tcPr>
          <w:p>
            <w:pPr>
              <w:pStyle w:val="0"/>
            </w:pPr>
            <w:r>
              <w:rPr>
                <w:sz w:val="24"/>
              </w:rPr>
            </w:r>
          </w:p>
        </w:tc>
        <w:tc>
          <w:tcPr>
            <w:tcW w:w="964" w:type="dxa"/>
            <w:vAlign w:val="center"/>
          </w:tcPr>
          <w:p>
            <w:pPr>
              <w:pStyle w:val="0"/>
            </w:pPr>
            <w:r>
              <w:rPr>
                <w:sz w:val="24"/>
              </w:rPr>
            </w:r>
          </w:p>
        </w:tc>
        <w:tc>
          <w:tcPr>
            <w:tcW w:w="964" w:type="dxa"/>
            <w:vAlign w:val="center"/>
          </w:tcPr>
          <w:p>
            <w:pPr>
              <w:pStyle w:val="0"/>
            </w:pPr>
            <w:r>
              <w:rPr>
                <w:sz w:val="24"/>
              </w:rPr>
            </w:r>
          </w:p>
        </w:tc>
        <w:tc>
          <w:tcPr>
            <w:tcW w:w="964" w:type="dxa"/>
            <w:vAlign w:val="center"/>
          </w:tcPr>
          <w:p>
            <w:pPr>
              <w:pStyle w:val="0"/>
              <w:jc w:val="center"/>
            </w:pPr>
            <w:r>
              <w:rPr>
                <w:sz w:val="24"/>
              </w:rPr>
              <w:t xml:space="preserve">Всего</w:t>
            </w:r>
          </w:p>
        </w:tc>
        <w:tc>
          <w:tcPr>
            <w:tcW w:w="1020" w:type="dxa"/>
            <w:vAlign w:val="center"/>
          </w:tcPr>
          <w:p>
            <w:pPr>
              <w:pStyle w:val="0"/>
            </w:pPr>
            <w:r>
              <w:rPr>
                <w:sz w:val="24"/>
              </w:rPr>
            </w:r>
          </w:p>
        </w:tc>
        <w:tc>
          <w:tcPr>
            <w:tcW w:w="964" w:type="dxa"/>
            <w:vAlign w:val="center"/>
          </w:tcPr>
          <w:p>
            <w:pPr>
              <w:pStyle w:val="0"/>
            </w:pPr>
            <w:r>
              <w:rPr>
                <w:sz w:val="24"/>
              </w:rPr>
            </w:r>
          </w:p>
        </w:tc>
      </w:tr>
      <w:tr>
        <w:tc>
          <w:tcPr>
            <w:vMerge w:val="continue"/>
          </w:tcPr>
          <w:p/>
        </w:tc>
        <w:tc>
          <w:tcPr>
            <w:tcW w:w="510" w:type="dxa"/>
            <w:vAlign w:val="center"/>
          </w:tcPr>
          <w:p>
            <w:pPr>
              <w:pStyle w:val="0"/>
            </w:pPr>
            <w:r>
              <w:rPr>
                <w:sz w:val="24"/>
              </w:rPr>
            </w:r>
          </w:p>
        </w:tc>
        <w:tc>
          <w:tcPr>
            <w:tcW w:w="737" w:type="dxa"/>
            <w:vAlign w:val="center"/>
          </w:tcPr>
          <w:p>
            <w:pPr>
              <w:pStyle w:val="0"/>
            </w:pPr>
            <w:r>
              <w:rPr>
                <w:sz w:val="24"/>
              </w:rPr>
            </w:r>
          </w:p>
        </w:tc>
        <w:tc>
          <w:tcPr>
            <w:tcW w:w="1020" w:type="dxa"/>
            <w:vAlign w:val="center"/>
          </w:tcPr>
          <w:p>
            <w:pPr>
              <w:pStyle w:val="0"/>
            </w:pPr>
            <w:r>
              <w:rPr>
                <w:sz w:val="24"/>
              </w:rPr>
            </w:r>
          </w:p>
        </w:tc>
        <w:tc>
          <w:tcPr>
            <w:tcW w:w="964" w:type="dxa"/>
            <w:vAlign w:val="center"/>
          </w:tcPr>
          <w:p>
            <w:pPr>
              <w:pStyle w:val="0"/>
            </w:pPr>
            <w:r>
              <w:rPr>
                <w:sz w:val="24"/>
              </w:rPr>
            </w:r>
          </w:p>
        </w:tc>
        <w:tc>
          <w:tcPr>
            <w:tcW w:w="964" w:type="dxa"/>
            <w:vAlign w:val="center"/>
          </w:tcPr>
          <w:p>
            <w:pPr>
              <w:pStyle w:val="0"/>
            </w:pPr>
            <w:r>
              <w:rPr>
                <w:sz w:val="24"/>
              </w:rPr>
            </w:r>
          </w:p>
        </w:tc>
        <w:tc>
          <w:tcPr>
            <w:tcW w:w="964" w:type="dxa"/>
            <w:vAlign w:val="center"/>
          </w:tcPr>
          <w:p>
            <w:pPr>
              <w:pStyle w:val="0"/>
            </w:pPr>
            <w:r>
              <w:rPr>
                <w:sz w:val="24"/>
              </w:rPr>
            </w:r>
          </w:p>
        </w:tc>
        <w:tc>
          <w:tcPr>
            <w:tcW w:w="964" w:type="dxa"/>
            <w:vAlign w:val="center"/>
          </w:tcPr>
          <w:p>
            <w:pPr>
              <w:pStyle w:val="0"/>
            </w:pPr>
            <w:r>
              <w:rPr>
                <w:sz w:val="24"/>
              </w:rPr>
            </w:r>
          </w:p>
        </w:tc>
        <w:tc>
          <w:tcPr>
            <w:tcW w:w="1020" w:type="dxa"/>
            <w:vAlign w:val="center"/>
          </w:tcPr>
          <w:p>
            <w:pPr>
              <w:pStyle w:val="0"/>
            </w:pPr>
            <w:r>
              <w:rPr>
                <w:sz w:val="24"/>
              </w:rPr>
            </w:r>
          </w:p>
        </w:tc>
        <w:tc>
          <w:tcPr>
            <w:tcW w:w="964" w:type="dxa"/>
            <w:vAlign w:val="center"/>
          </w:tcPr>
          <w:p>
            <w:pPr>
              <w:pStyle w:val="0"/>
            </w:pPr>
            <w:r>
              <w:rPr>
                <w:sz w:val="24"/>
              </w:rPr>
            </w:r>
          </w:p>
        </w:tc>
      </w:tr>
      <w:tr>
        <w:tc>
          <w:tcPr>
            <w:tcW w:w="964" w:type="dxa"/>
            <w:vAlign w:val="center"/>
            <w:vMerge w:val="restart"/>
          </w:tcPr>
          <w:p>
            <w:pPr>
              <w:pStyle w:val="0"/>
              <w:jc w:val="center"/>
            </w:pPr>
            <w:r>
              <w:rPr>
                <w:sz w:val="24"/>
              </w:rPr>
              <w:t xml:space="preserve">Год участия - 2</w:t>
            </w:r>
          </w:p>
        </w:tc>
        <w:tc>
          <w:tcPr>
            <w:tcW w:w="510" w:type="dxa"/>
            <w:vAlign w:val="center"/>
          </w:tcPr>
          <w:p>
            <w:pPr>
              <w:pStyle w:val="0"/>
            </w:pPr>
            <w:r>
              <w:rPr>
                <w:sz w:val="24"/>
              </w:rPr>
            </w:r>
          </w:p>
        </w:tc>
        <w:tc>
          <w:tcPr>
            <w:tcW w:w="737" w:type="dxa"/>
            <w:vAlign w:val="center"/>
          </w:tcPr>
          <w:p>
            <w:pPr>
              <w:pStyle w:val="0"/>
            </w:pPr>
            <w:r>
              <w:rPr>
                <w:sz w:val="24"/>
              </w:rPr>
            </w:r>
          </w:p>
        </w:tc>
        <w:tc>
          <w:tcPr>
            <w:tcW w:w="1020" w:type="dxa"/>
            <w:vAlign w:val="center"/>
          </w:tcPr>
          <w:p>
            <w:pPr>
              <w:pStyle w:val="0"/>
            </w:pPr>
            <w:r>
              <w:rPr>
                <w:sz w:val="24"/>
              </w:rPr>
            </w:r>
          </w:p>
        </w:tc>
        <w:tc>
          <w:tcPr>
            <w:tcW w:w="964" w:type="dxa"/>
            <w:vAlign w:val="center"/>
          </w:tcPr>
          <w:p>
            <w:pPr>
              <w:pStyle w:val="0"/>
            </w:pPr>
            <w:r>
              <w:rPr>
                <w:sz w:val="24"/>
              </w:rPr>
            </w:r>
          </w:p>
        </w:tc>
        <w:tc>
          <w:tcPr>
            <w:tcW w:w="964" w:type="dxa"/>
            <w:vAlign w:val="center"/>
          </w:tcPr>
          <w:p>
            <w:pPr>
              <w:pStyle w:val="0"/>
            </w:pPr>
            <w:r>
              <w:rPr>
                <w:sz w:val="24"/>
              </w:rPr>
            </w:r>
          </w:p>
        </w:tc>
        <w:tc>
          <w:tcPr>
            <w:tcW w:w="964" w:type="dxa"/>
            <w:vAlign w:val="center"/>
          </w:tcPr>
          <w:p>
            <w:pPr>
              <w:pStyle w:val="0"/>
            </w:pPr>
            <w:r>
              <w:rPr>
                <w:sz w:val="24"/>
              </w:rPr>
            </w:r>
          </w:p>
        </w:tc>
        <w:tc>
          <w:tcPr>
            <w:tcW w:w="964" w:type="dxa"/>
            <w:vAlign w:val="center"/>
          </w:tcPr>
          <w:p>
            <w:pPr>
              <w:pStyle w:val="0"/>
              <w:jc w:val="center"/>
            </w:pPr>
            <w:r>
              <w:rPr>
                <w:sz w:val="24"/>
              </w:rPr>
              <w:t xml:space="preserve">Всего</w:t>
            </w:r>
          </w:p>
        </w:tc>
        <w:tc>
          <w:tcPr>
            <w:tcW w:w="1020" w:type="dxa"/>
            <w:vAlign w:val="center"/>
          </w:tcPr>
          <w:p>
            <w:pPr>
              <w:pStyle w:val="0"/>
            </w:pPr>
            <w:r>
              <w:rPr>
                <w:sz w:val="24"/>
              </w:rPr>
            </w:r>
          </w:p>
        </w:tc>
        <w:tc>
          <w:tcPr>
            <w:tcW w:w="964" w:type="dxa"/>
            <w:vAlign w:val="center"/>
          </w:tcPr>
          <w:p>
            <w:pPr>
              <w:pStyle w:val="0"/>
            </w:pPr>
            <w:r>
              <w:rPr>
                <w:sz w:val="24"/>
              </w:rPr>
            </w:r>
          </w:p>
        </w:tc>
      </w:tr>
      <w:tr>
        <w:tc>
          <w:tcPr>
            <w:vMerge w:val="continue"/>
          </w:tcPr>
          <w:p/>
        </w:tc>
        <w:tc>
          <w:tcPr>
            <w:tcW w:w="510" w:type="dxa"/>
            <w:vAlign w:val="center"/>
          </w:tcPr>
          <w:p>
            <w:pPr>
              <w:pStyle w:val="0"/>
            </w:pPr>
            <w:r>
              <w:rPr>
                <w:sz w:val="24"/>
              </w:rPr>
            </w:r>
          </w:p>
        </w:tc>
        <w:tc>
          <w:tcPr>
            <w:tcW w:w="737" w:type="dxa"/>
            <w:vAlign w:val="center"/>
          </w:tcPr>
          <w:p>
            <w:pPr>
              <w:pStyle w:val="0"/>
            </w:pPr>
            <w:r>
              <w:rPr>
                <w:sz w:val="24"/>
              </w:rPr>
            </w:r>
          </w:p>
        </w:tc>
        <w:tc>
          <w:tcPr>
            <w:tcW w:w="1020" w:type="dxa"/>
            <w:vAlign w:val="center"/>
          </w:tcPr>
          <w:p>
            <w:pPr>
              <w:pStyle w:val="0"/>
            </w:pPr>
            <w:r>
              <w:rPr>
                <w:sz w:val="24"/>
              </w:rPr>
            </w:r>
          </w:p>
        </w:tc>
        <w:tc>
          <w:tcPr>
            <w:tcW w:w="964" w:type="dxa"/>
            <w:vAlign w:val="center"/>
          </w:tcPr>
          <w:p>
            <w:pPr>
              <w:pStyle w:val="0"/>
            </w:pPr>
            <w:r>
              <w:rPr>
                <w:sz w:val="24"/>
              </w:rPr>
            </w:r>
          </w:p>
        </w:tc>
        <w:tc>
          <w:tcPr>
            <w:tcW w:w="964" w:type="dxa"/>
            <w:vAlign w:val="center"/>
          </w:tcPr>
          <w:p>
            <w:pPr>
              <w:pStyle w:val="0"/>
            </w:pPr>
            <w:r>
              <w:rPr>
                <w:sz w:val="24"/>
              </w:rPr>
            </w:r>
          </w:p>
        </w:tc>
        <w:tc>
          <w:tcPr>
            <w:tcW w:w="964" w:type="dxa"/>
            <w:vAlign w:val="center"/>
          </w:tcPr>
          <w:p>
            <w:pPr>
              <w:pStyle w:val="0"/>
            </w:pPr>
            <w:r>
              <w:rPr>
                <w:sz w:val="24"/>
              </w:rPr>
            </w:r>
          </w:p>
        </w:tc>
        <w:tc>
          <w:tcPr>
            <w:tcW w:w="964" w:type="dxa"/>
            <w:vAlign w:val="center"/>
          </w:tcPr>
          <w:p>
            <w:pPr>
              <w:pStyle w:val="0"/>
            </w:pPr>
            <w:r>
              <w:rPr>
                <w:sz w:val="24"/>
              </w:rPr>
            </w:r>
          </w:p>
        </w:tc>
        <w:tc>
          <w:tcPr>
            <w:tcW w:w="1020" w:type="dxa"/>
            <w:vAlign w:val="center"/>
          </w:tcPr>
          <w:p>
            <w:pPr>
              <w:pStyle w:val="0"/>
            </w:pPr>
            <w:r>
              <w:rPr>
                <w:sz w:val="24"/>
              </w:rPr>
            </w:r>
          </w:p>
        </w:tc>
        <w:tc>
          <w:tcPr>
            <w:tcW w:w="964" w:type="dxa"/>
            <w:vAlign w:val="center"/>
          </w:tcPr>
          <w:p>
            <w:pPr>
              <w:pStyle w:val="0"/>
            </w:pPr>
            <w:r>
              <w:rPr>
                <w:sz w:val="24"/>
              </w:rPr>
            </w:r>
          </w:p>
        </w:tc>
      </w:tr>
      <w:tr>
        <w:tc>
          <w:tcPr>
            <w:tcW w:w="964" w:type="dxa"/>
            <w:vAlign w:val="center"/>
            <w:vMerge w:val="restart"/>
          </w:tcPr>
          <w:p>
            <w:pPr>
              <w:pStyle w:val="0"/>
              <w:jc w:val="center"/>
            </w:pPr>
            <w:r>
              <w:rPr>
                <w:sz w:val="24"/>
              </w:rPr>
              <w:t xml:space="preserve">Год участия - 1</w:t>
            </w:r>
          </w:p>
        </w:tc>
        <w:tc>
          <w:tcPr>
            <w:tcW w:w="510" w:type="dxa"/>
            <w:vAlign w:val="center"/>
          </w:tcPr>
          <w:p>
            <w:pPr>
              <w:pStyle w:val="0"/>
            </w:pPr>
            <w:r>
              <w:rPr>
                <w:sz w:val="24"/>
              </w:rPr>
            </w:r>
          </w:p>
        </w:tc>
        <w:tc>
          <w:tcPr>
            <w:tcW w:w="737" w:type="dxa"/>
            <w:vAlign w:val="center"/>
          </w:tcPr>
          <w:p>
            <w:pPr>
              <w:pStyle w:val="0"/>
            </w:pPr>
            <w:r>
              <w:rPr>
                <w:sz w:val="24"/>
              </w:rPr>
            </w:r>
          </w:p>
        </w:tc>
        <w:tc>
          <w:tcPr>
            <w:tcW w:w="1020" w:type="dxa"/>
            <w:vAlign w:val="center"/>
          </w:tcPr>
          <w:p>
            <w:pPr>
              <w:pStyle w:val="0"/>
            </w:pPr>
            <w:r>
              <w:rPr>
                <w:sz w:val="24"/>
              </w:rPr>
            </w:r>
          </w:p>
        </w:tc>
        <w:tc>
          <w:tcPr>
            <w:tcW w:w="964" w:type="dxa"/>
            <w:vAlign w:val="center"/>
          </w:tcPr>
          <w:p>
            <w:pPr>
              <w:pStyle w:val="0"/>
            </w:pPr>
            <w:r>
              <w:rPr>
                <w:sz w:val="24"/>
              </w:rPr>
            </w:r>
          </w:p>
        </w:tc>
        <w:tc>
          <w:tcPr>
            <w:tcW w:w="964" w:type="dxa"/>
            <w:vAlign w:val="center"/>
          </w:tcPr>
          <w:p>
            <w:pPr>
              <w:pStyle w:val="0"/>
            </w:pPr>
            <w:r>
              <w:rPr>
                <w:sz w:val="24"/>
              </w:rPr>
            </w:r>
          </w:p>
        </w:tc>
        <w:tc>
          <w:tcPr>
            <w:tcW w:w="964" w:type="dxa"/>
            <w:vAlign w:val="center"/>
          </w:tcPr>
          <w:p>
            <w:pPr>
              <w:pStyle w:val="0"/>
            </w:pPr>
            <w:r>
              <w:rPr>
                <w:sz w:val="24"/>
              </w:rPr>
            </w:r>
          </w:p>
        </w:tc>
        <w:tc>
          <w:tcPr>
            <w:tcW w:w="964" w:type="dxa"/>
            <w:vAlign w:val="center"/>
          </w:tcPr>
          <w:p>
            <w:pPr>
              <w:pStyle w:val="0"/>
              <w:jc w:val="center"/>
            </w:pPr>
            <w:r>
              <w:rPr>
                <w:sz w:val="24"/>
              </w:rPr>
              <w:t xml:space="preserve">Всего</w:t>
            </w:r>
          </w:p>
        </w:tc>
        <w:tc>
          <w:tcPr>
            <w:tcW w:w="1020" w:type="dxa"/>
            <w:vAlign w:val="center"/>
          </w:tcPr>
          <w:p>
            <w:pPr>
              <w:pStyle w:val="0"/>
            </w:pPr>
            <w:r>
              <w:rPr>
                <w:sz w:val="24"/>
              </w:rPr>
            </w:r>
          </w:p>
        </w:tc>
        <w:tc>
          <w:tcPr>
            <w:tcW w:w="964" w:type="dxa"/>
            <w:vAlign w:val="center"/>
          </w:tcPr>
          <w:p>
            <w:pPr>
              <w:pStyle w:val="0"/>
            </w:pPr>
            <w:r>
              <w:rPr>
                <w:sz w:val="24"/>
              </w:rPr>
            </w:r>
          </w:p>
        </w:tc>
      </w:tr>
      <w:tr>
        <w:tc>
          <w:tcPr>
            <w:vMerge w:val="continue"/>
          </w:tcPr>
          <w:p/>
        </w:tc>
        <w:tc>
          <w:tcPr>
            <w:tcW w:w="510" w:type="dxa"/>
            <w:vAlign w:val="center"/>
          </w:tcPr>
          <w:p>
            <w:pPr>
              <w:pStyle w:val="0"/>
            </w:pPr>
            <w:r>
              <w:rPr>
                <w:sz w:val="24"/>
              </w:rPr>
            </w:r>
          </w:p>
        </w:tc>
        <w:tc>
          <w:tcPr>
            <w:tcW w:w="737" w:type="dxa"/>
            <w:vAlign w:val="center"/>
          </w:tcPr>
          <w:p>
            <w:pPr>
              <w:pStyle w:val="0"/>
            </w:pPr>
            <w:r>
              <w:rPr>
                <w:sz w:val="24"/>
              </w:rPr>
            </w:r>
          </w:p>
        </w:tc>
        <w:tc>
          <w:tcPr>
            <w:tcW w:w="1020" w:type="dxa"/>
            <w:vAlign w:val="center"/>
          </w:tcPr>
          <w:p>
            <w:pPr>
              <w:pStyle w:val="0"/>
            </w:pPr>
            <w:r>
              <w:rPr>
                <w:sz w:val="24"/>
              </w:rPr>
            </w:r>
          </w:p>
        </w:tc>
        <w:tc>
          <w:tcPr>
            <w:tcW w:w="964" w:type="dxa"/>
            <w:vAlign w:val="center"/>
          </w:tcPr>
          <w:p>
            <w:pPr>
              <w:pStyle w:val="0"/>
            </w:pPr>
            <w:r>
              <w:rPr>
                <w:sz w:val="24"/>
              </w:rPr>
            </w:r>
          </w:p>
        </w:tc>
        <w:tc>
          <w:tcPr>
            <w:tcW w:w="964" w:type="dxa"/>
            <w:vAlign w:val="center"/>
          </w:tcPr>
          <w:p>
            <w:pPr>
              <w:pStyle w:val="0"/>
            </w:pPr>
            <w:r>
              <w:rPr>
                <w:sz w:val="24"/>
              </w:rPr>
            </w:r>
          </w:p>
        </w:tc>
        <w:tc>
          <w:tcPr>
            <w:tcW w:w="964" w:type="dxa"/>
            <w:vAlign w:val="center"/>
          </w:tcPr>
          <w:p>
            <w:pPr>
              <w:pStyle w:val="0"/>
            </w:pPr>
            <w:r>
              <w:rPr>
                <w:sz w:val="24"/>
              </w:rPr>
            </w:r>
          </w:p>
        </w:tc>
        <w:tc>
          <w:tcPr>
            <w:tcW w:w="964" w:type="dxa"/>
            <w:vAlign w:val="center"/>
          </w:tcPr>
          <w:p>
            <w:pPr>
              <w:pStyle w:val="0"/>
            </w:pPr>
            <w:r>
              <w:rPr>
                <w:sz w:val="24"/>
              </w:rPr>
            </w:r>
          </w:p>
        </w:tc>
        <w:tc>
          <w:tcPr>
            <w:tcW w:w="1020" w:type="dxa"/>
            <w:vAlign w:val="center"/>
          </w:tcPr>
          <w:p>
            <w:pPr>
              <w:pStyle w:val="0"/>
            </w:pPr>
            <w:r>
              <w:rPr>
                <w:sz w:val="24"/>
              </w:rPr>
            </w:r>
          </w:p>
        </w:tc>
        <w:tc>
          <w:tcPr>
            <w:tcW w:w="964" w:type="dxa"/>
            <w:vAlign w:val="center"/>
          </w:tcPr>
          <w:p>
            <w:pPr>
              <w:pStyle w:val="0"/>
            </w:pPr>
            <w:r>
              <w:rPr>
                <w:sz w:val="24"/>
              </w:rPr>
            </w:r>
          </w:p>
        </w:tc>
      </w:tr>
    </w:tbl>
    <w:p>
      <w:pPr>
        <w:pStyle w:val="0"/>
        <w:jc w:val="both"/>
      </w:pPr>
      <w:r>
        <w:rPr>
          <w:sz w:val="24"/>
        </w:rPr>
      </w:r>
    </w:p>
    <w:tbl>
      <w:tblPr>
        <w:tblInd w:w="0" w:type="dxa"/>
        <w:tblLayout w:type="fixed"/>
        <w:tblBorders>
          <w:left w:val="single" w:sz="4"/>
          <w:bottom w:val="single" w:sz="4"/>
          <w:right w:val="single" w:sz="4"/>
          <w:insideV w:val="single" w:sz="4"/>
          <w:insideH w:val="single" w:sz="4"/>
        </w:tblBorders>
        <w:tblCellMar>
          <w:top w:w="102" w:type="dxa"/>
          <w:left w:w="62" w:type="dxa"/>
          <w:bottom w:w="102" w:type="dxa"/>
          <w:right w:w="62" w:type="dxa"/>
        </w:tblCellMar>
      </w:tblPr>
      <w:tblGrid>
        <w:gridCol w:w="964"/>
        <w:gridCol w:w="510"/>
        <w:gridCol w:w="1247"/>
        <w:gridCol w:w="1531"/>
        <w:gridCol w:w="1077"/>
        <w:gridCol w:w="907"/>
        <w:gridCol w:w="1191"/>
        <w:gridCol w:w="1644"/>
      </w:tblGrid>
      <w:tr>
        <w:tblPrEx>
          <w:tblBorders>
            <w:left w:val="nil"/>
            <w:right w:val="nil"/>
          </w:tblBorders>
        </w:tblPrEx>
        <w:tc>
          <w:tcPr>
            <w:gridSpan w:val="8"/>
            <w:tcW w:w="9071" w:type="dxa"/>
            <w:tcBorders>
              <w:top w:val="nil"/>
              <w:left w:val="nil"/>
              <w:right w:val="nil"/>
            </w:tcBorders>
          </w:tcPr>
          <w:p>
            <w:pPr>
              <w:pStyle w:val="0"/>
              <w:outlineLvl w:val="3"/>
              <w:ind w:left="283"/>
            </w:pPr>
            <w:r>
              <w:rPr>
                <w:sz w:val="24"/>
              </w:rPr>
              <w:t xml:space="preserve">Специализированная медицинская помощь. Стационарно. ВМП</w:t>
            </w:r>
          </w:p>
        </w:tc>
      </w:tr>
      <w:tr>
        <w:tc>
          <w:tcPr>
            <w:tcW w:w="964" w:type="dxa"/>
          </w:tcPr>
          <w:p>
            <w:pPr>
              <w:pStyle w:val="0"/>
              <w:jc w:val="center"/>
            </w:pPr>
            <w:r>
              <w:rPr>
                <w:sz w:val="24"/>
              </w:rPr>
              <w:t xml:space="preserve">Год</w:t>
            </w:r>
          </w:p>
        </w:tc>
        <w:tc>
          <w:tcPr>
            <w:tcW w:w="510" w:type="dxa"/>
          </w:tcPr>
          <w:p>
            <w:pPr>
              <w:pStyle w:val="0"/>
              <w:jc w:val="center"/>
            </w:pPr>
            <w:r>
              <w:rPr>
                <w:sz w:val="24"/>
              </w:rPr>
              <w:t xml:space="preserve">N пп</w:t>
            </w:r>
          </w:p>
        </w:tc>
        <w:tc>
          <w:tcPr>
            <w:tcW w:w="1247" w:type="dxa"/>
          </w:tcPr>
          <w:p>
            <w:pPr>
              <w:pStyle w:val="0"/>
              <w:jc w:val="center"/>
            </w:pPr>
            <w:r>
              <w:rPr>
                <w:sz w:val="24"/>
              </w:rPr>
              <w:t xml:space="preserve">(Профиль медицинской помощи)</w:t>
            </w:r>
          </w:p>
          <w:p>
            <w:pPr>
              <w:pStyle w:val="0"/>
              <w:jc w:val="center"/>
            </w:pPr>
            <w:r>
              <w:rPr>
                <w:sz w:val="24"/>
              </w:rPr>
              <w:t xml:space="preserve">Код</w:t>
            </w:r>
          </w:p>
        </w:tc>
        <w:tc>
          <w:tcPr>
            <w:tcW w:w="1531" w:type="dxa"/>
          </w:tcPr>
          <w:p>
            <w:pPr>
              <w:pStyle w:val="0"/>
              <w:jc w:val="center"/>
            </w:pPr>
            <w:r>
              <w:rPr>
                <w:sz w:val="24"/>
              </w:rPr>
              <w:t xml:space="preserve">(Профиль медицинской помощи)</w:t>
            </w:r>
          </w:p>
          <w:p>
            <w:pPr>
              <w:pStyle w:val="0"/>
              <w:jc w:val="center"/>
            </w:pPr>
            <w:r>
              <w:rPr>
                <w:sz w:val="24"/>
              </w:rPr>
              <w:t xml:space="preserve">Наименование</w:t>
            </w:r>
          </w:p>
        </w:tc>
        <w:tc>
          <w:tcPr>
            <w:tcW w:w="1077" w:type="dxa"/>
          </w:tcPr>
          <w:p>
            <w:pPr>
              <w:pStyle w:val="0"/>
              <w:jc w:val="center"/>
            </w:pPr>
            <w:r>
              <w:rPr>
                <w:sz w:val="24"/>
              </w:rPr>
              <w:t xml:space="preserve">Номер группы ВМП</w:t>
            </w:r>
          </w:p>
        </w:tc>
        <w:tc>
          <w:tcPr>
            <w:tcW w:w="907" w:type="dxa"/>
          </w:tcPr>
          <w:p>
            <w:pPr>
              <w:pStyle w:val="0"/>
              <w:jc w:val="center"/>
            </w:pPr>
            <w:r>
              <w:rPr>
                <w:sz w:val="24"/>
              </w:rPr>
              <w:t xml:space="preserve">Вид ВМП</w:t>
            </w:r>
          </w:p>
        </w:tc>
        <w:tc>
          <w:tcPr>
            <w:tcW w:w="1191" w:type="dxa"/>
          </w:tcPr>
          <w:p>
            <w:pPr>
              <w:pStyle w:val="0"/>
              <w:jc w:val="center"/>
            </w:pPr>
            <w:r>
              <w:rPr>
                <w:sz w:val="24"/>
              </w:rPr>
              <w:t xml:space="preserve">Объем медицинской помощи (случай)</w:t>
            </w:r>
          </w:p>
        </w:tc>
        <w:tc>
          <w:tcPr>
            <w:tcW w:w="1644" w:type="dxa"/>
          </w:tcPr>
          <w:p>
            <w:pPr>
              <w:pStyle w:val="0"/>
              <w:jc w:val="center"/>
            </w:pPr>
            <w:r>
              <w:rPr>
                <w:sz w:val="24"/>
              </w:rPr>
              <w:t xml:space="preserve">Объем финансового обеспечения медицинской помощи (руб.)</w:t>
            </w:r>
          </w:p>
        </w:tc>
      </w:tr>
      <w:tr>
        <w:tc>
          <w:tcPr>
            <w:tcW w:w="964" w:type="dxa"/>
            <w:vAlign w:val="center"/>
            <w:vMerge w:val="restart"/>
          </w:tcPr>
          <w:p>
            <w:pPr>
              <w:pStyle w:val="0"/>
              <w:jc w:val="center"/>
            </w:pPr>
            <w:r>
              <w:rPr>
                <w:sz w:val="24"/>
              </w:rPr>
              <w:t xml:space="preserve">Год участия - 3</w:t>
            </w:r>
          </w:p>
        </w:tc>
        <w:tc>
          <w:tcPr>
            <w:tcW w:w="510" w:type="dxa"/>
            <w:vAlign w:val="center"/>
          </w:tcPr>
          <w:p>
            <w:pPr>
              <w:pStyle w:val="0"/>
            </w:pPr>
            <w:r>
              <w:rPr>
                <w:sz w:val="24"/>
              </w:rPr>
            </w:r>
          </w:p>
        </w:tc>
        <w:tc>
          <w:tcPr>
            <w:tcW w:w="1247" w:type="dxa"/>
            <w:vAlign w:val="center"/>
          </w:tcPr>
          <w:p>
            <w:pPr>
              <w:pStyle w:val="0"/>
            </w:pPr>
            <w:r>
              <w:rPr>
                <w:sz w:val="24"/>
              </w:rPr>
            </w:r>
          </w:p>
        </w:tc>
        <w:tc>
          <w:tcPr>
            <w:tcW w:w="1531" w:type="dxa"/>
            <w:vAlign w:val="center"/>
          </w:tcPr>
          <w:p>
            <w:pPr>
              <w:pStyle w:val="0"/>
            </w:pPr>
            <w:r>
              <w:rPr>
                <w:sz w:val="24"/>
              </w:rPr>
            </w:r>
          </w:p>
        </w:tc>
        <w:tc>
          <w:tcPr>
            <w:tcW w:w="1077" w:type="dxa"/>
            <w:vAlign w:val="center"/>
          </w:tcPr>
          <w:p>
            <w:pPr>
              <w:pStyle w:val="0"/>
            </w:pPr>
            <w:r>
              <w:rPr>
                <w:sz w:val="24"/>
              </w:rPr>
            </w:r>
          </w:p>
        </w:tc>
        <w:tc>
          <w:tcPr>
            <w:tcW w:w="907" w:type="dxa"/>
            <w:vAlign w:val="center"/>
          </w:tcPr>
          <w:p>
            <w:pPr>
              <w:pStyle w:val="0"/>
              <w:jc w:val="center"/>
            </w:pPr>
            <w:r>
              <w:rPr>
                <w:sz w:val="24"/>
              </w:rPr>
              <w:t xml:space="preserve">Всего</w:t>
            </w:r>
          </w:p>
        </w:tc>
        <w:tc>
          <w:tcPr>
            <w:tcW w:w="1191" w:type="dxa"/>
            <w:vAlign w:val="center"/>
          </w:tcPr>
          <w:p>
            <w:pPr>
              <w:pStyle w:val="0"/>
            </w:pPr>
            <w:r>
              <w:rPr>
                <w:sz w:val="24"/>
              </w:rPr>
            </w:r>
          </w:p>
        </w:tc>
        <w:tc>
          <w:tcPr>
            <w:tcW w:w="1644" w:type="dxa"/>
            <w:vAlign w:val="center"/>
          </w:tcPr>
          <w:p>
            <w:pPr>
              <w:pStyle w:val="0"/>
            </w:pPr>
            <w:r>
              <w:rPr>
                <w:sz w:val="24"/>
              </w:rPr>
            </w:r>
          </w:p>
        </w:tc>
      </w:tr>
      <w:tr>
        <w:tc>
          <w:tcPr>
            <w:vMerge w:val="continue"/>
          </w:tcPr>
          <w:p/>
        </w:tc>
        <w:tc>
          <w:tcPr>
            <w:tcW w:w="510" w:type="dxa"/>
            <w:vAlign w:val="center"/>
          </w:tcPr>
          <w:p>
            <w:pPr>
              <w:pStyle w:val="0"/>
            </w:pPr>
            <w:r>
              <w:rPr>
                <w:sz w:val="24"/>
              </w:rPr>
            </w:r>
          </w:p>
        </w:tc>
        <w:tc>
          <w:tcPr>
            <w:tcW w:w="1247" w:type="dxa"/>
            <w:vAlign w:val="center"/>
          </w:tcPr>
          <w:p>
            <w:pPr>
              <w:pStyle w:val="0"/>
            </w:pPr>
            <w:r>
              <w:rPr>
                <w:sz w:val="24"/>
              </w:rPr>
            </w:r>
          </w:p>
        </w:tc>
        <w:tc>
          <w:tcPr>
            <w:tcW w:w="1531" w:type="dxa"/>
            <w:vAlign w:val="center"/>
          </w:tcPr>
          <w:p>
            <w:pPr>
              <w:pStyle w:val="0"/>
            </w:pPr>
            <w:r>
              <w:rPr>
                <w:sz w:val="24"/>
              </w:rPr>
            </w:r>
          </w:p>
        </w:tc>
        <w:tc>
          <w:tcPr>
            <w:tcW w:w="1077" w:type="dxa"/>
            <w:vAlign w:val="center"/>
          </w:tcPr>
          <w:p>
            <w:pPr>
              <w:pStyle w:val="0"/>
            </w:pPr>
            <w:r>
              <w:rPr>
                <w:sz w:val="24"/>
              </w:rPr>
            </w:r>
          </w:p>
        </w:tc>
        <w:tc>
          <w:tcPr>
            <w:tcW w:w="907" w:type="dxa"/>
            <w:vAlign w:val="center"/>
          </w:tcPr>
          <w:p>
            <w:pPr>
              <w:pStyle w:val="0"/>
            </w:pPr>
            <w:r>
              <w:rPr>
                <w:sz w:val="24"/>
              </w:rPr>
            </w:r>
          </w:p>
        </w:tc>
        <w:tc>
          <w:tcPr>
            <w:tcW w:w="1191" w:type="dxa"/>
            <w:vAlign w:val="center"/>
          </w:tcPr>
          <w:p>
            <w:pPr>
              <w:pStyle w:val="0"/>
            </w:pPr>
            <w:r>
              <w:rPr>
                <w:sz w:val="24"/>
              </w:rPr>
            </w:r>
          </w:p>
        </w:tc>
        <w:tc>
          <w:tcPr>
            <w:tcW w:w="1644" w:type="dxa"/>
            <w:vAlign w:val="center"/>
          </w:tcPr>
          <w:p>
            <w:pPr>
              <w:pStyle w:val="0"/>
            </w:pPr>
            <w:r>
              <w:rPr>
                <w:sz w:val="24"/>
              </w:rPr>
            </w:r>
          </w:p>
        </w:tc>
      </w:tr>
      <w:tr>
        <w:tc>
          <w:tcPr>
            <w:tcW w:w="964" w:type="dxa"/>
            <w:vAlign w:val="center"/>
            <w:vMerge w:val="restart"/>
          </w:tcPr>
          <w:p>
            <w:pPr>
              <w:pStyle w:val="0"/>
              <w:jc w:val="center"/>
            </w:pPr>
            <w:r>
              <w:rPr>
                <w:sz w:val="24"/>
              </w:rPr>
              <w:t xml:space="preserve">Год участия - 2</w:t>
            </w:r>
          </w:p>
        </w:tc>
        <w:tc>
          <w:tcPr>
            <w:tcW w:w="510" w:type="dxa"/>
            <w:vAlign w:val="center"/>
          </w:tcPr>
          <w:p>
            <w:pPr>
              <w:pStyle w:val="0"/>
            </w:pPr>
            <w:r>
              <w:rPr>
                <w:sz w:val="24"/>
              </w:rPr>
            </w:r>
          </w:p>
        </w:tc>
        <w:tc>
          <w:tcPr>
            <w:tcW w:w="1247" w:type="dxa"/>
            <w:vAlign w:val="center"/>
          </w:tcPr>
          <w:p>
            <w:pPr>
              <w:pStyle w:val="0"/>
            </w:pPr>
            <w:r>
              <w:rPr>
                <w:sz w:val="24"/>
              </w:rPr>
            </w:r>
          </w:p>
        </w:tc>
        <w:tc>
          <w:tcPr>
            <w:tcW w:w="1531" w:type="dxa"/>
            <w:vAlign w:val="center"/>
          </w:tcPr>
          <w:p>
            <w:pPr>
              <w:pStyle w:val="0"/>
            </w:pPr>
            <w:r>
              <w:rPr>
                <w:sz w:val="24"/>
              </w:rPr>
            </w:r>
          </w:p>
        </w:tc>
        <w:tc>
          <w:tcPr>
            <w:tcW w:w="1077" w:type="dxa"/>
            <w:vAlign w:val="center"/>
          </w:tcPr>
          <w:p>
            <w:pPr>
              <w:pStyle w:val="0"/>
            </w:pPr>
            <w:r>
              <w:rPr>
                <w:sz w:val="24"/>
              </w:rPr>
            </w:r>
          </w:p>
        </w:tc>
        <w:tc>
          <w:tcPr>
            <w:tcW w:w="907" w:type="dxa"/>
            <w:vAlign w:val="center"/>
          </w:tcPr>
          <w:p>
            <w:pPr>
              <w:pStyle w:val="0"/>
              <w:jc w:val="center"/>
            </w:pPr>
            <w:r>
              <w:rPr>
                <w:sz w:val="24"/>
              </w:rPr>
              <w:t xml:space="preserve">Всего</w:t>
            </w:r>
          </w:p>
        </w:tc>
        <w:tc>
          <w:tcPr>
            <w:tcW w:w="1191" w:type="dxa"/>
            <w:vAlign w:val="center"/>
          </w:tcPr>
          <w:p>
            <w:pPr>
              <w:pStyle w:val="0"/>
            </w:pPr>
            <w:r>
              <w:rPr>
                <w:sz w:val="24"/>
              </w:rPr>
            </w:r>
          </w:p>
        </w:tc>
        <w:tc>
          <w:tcPr>
            <w:tcW w:w="1644" w:type="dxa"/>
            <w:vAlign w:val="center"/>
          </w:tcPr>
          <w:p>
            <w:pPr>
              <w:pStyle w:val="0"/>
            </w:pPr>
            <w:r>
              <w:rPr>
                <w:sz w:val="24"/>
              </w:rPr>
            </w:r>
          </w:p>
        </w:tc>
      </w:tr>
      <w:tr>
        <w:tc>
          <w:tcPr>
            <w:vMerge w:val="continue"/>
          </w:tcPr>
          <w:p/>
        </w:tc>
        <w:tc>
          <w:tcPr>
            <w:tcW w:w="510" w:type="dxa"/>
            <w:vAlign w:val="center"/>
          </w:tcPr>
          <w:p>
            <w:pPr>
              <w:pStyle w:val="0"/>
            </w:pPr>
            <w:r>
              <w:rPr>
                <w:sz w:val="24"/>
              </w:rPr>
            </w:r>
          </w:p>
        </w:tc>
        <w:tc>
          <w:tcPr>
            <w:tcW w:w="1247" w:type="dxa"/>
            <w:vAlign w:val="center"/>
          </w:tcPr>
          <w:p>
            <w:pPr>
              <w:pStyle w:val="0"/>
            </w:pPr>
            <w:r>
              <w:rPr>
                <w:sz w:val="24"/>
              </w:rPr>
            </w:r>
          </w:p>
        </w:tc>
        <w:tc>
          <w:tcPr>
            <w:tcW w:w="1531" w:type="dxa"/>
            <w:vAlign w:val="center"/>
          </w:tcPr>
          <w:p>
            <w:pPr>
              <w:pStyle w:val="0"/>
            </w:pPr>
            <w:r>
              <w:rPr>
                <w:sz w:val="24"/>
              </w:rPr>
            </w:r>
          </w:p>
        </w:tc>
        <w:tc>
          <w:tcPr>
            <w:tcW w:w="1077" w:type="dxa"/>
            <w:vAlign w:val="center"/>
          </w:tcPr>
          <w:p>
            <w:pPr>
              <w:pStyle w:val="0"/>
            </w:pPr>
            <w:r>
              <w:rPr>
                <w:sz w:val="24"/>
              </w:rPr>
            </w:r>
          </w:p>
        </w:tc>
        <w:tc>
          <w:tcPr>
            <w:tcW w:w="907" w:type="dxa"/>
            <w:vAlign w:val="center"/>
          </w:tcPr>
          <w:p>
            <w:pPr>
              <w:pStyle w:val="0"/>
            </w:pPr>
            <w:r>
              <w:rPr>
                <w:sz w:val="24"/>
              </w:rPr>
            </w:r>
          </w:p>
        </w:tc>
        <w:tc>
          <w:tcPr>
            <w:tcW w:w="1191" w:type="dxa"/>
            <w:vAlign w:val="center"/>
          </w:tcPr>
          <w:p>
            <w:pPr>
              <w:pStyle w:val="0"/>
            </w:pPr>
            <w:r>
              <w:rPr>
                <w:sz w:val="24"/>
              </w:rPr>
            </w:r>
          </w:p>
        </w:tc>
        <w:tc>
          <w:tcPr>
            <w:tcW w:w="1644" w:type="dxa"/>
            <w:vAlign w:val="center"/>
          </w:tcPr>
          <w:p>
            <w:pPr>
              <w:pStyle w:val="0"/>
            </w:pPr>
            <w:r>
              <w:rPr>
                <w:sz w:val="24"/>
              </w:rPr>
            </w:r>
          </w:p>
        </w:tc>
      </w:tr>
      <w:tr>
        <w:tc>
          <w:tcPr>
            <w:tcW w:w="964" w:type="dxa"/>
            <w:vAlign w:val="center"/>
          </w:tcPr>
          <w:p>
            <w:pPr>
              <w:pStyle w:val="0"/>
              <w:jc w:val="center"/>
            </w:pPr>
            <w:r>
              <w:rPr>
                <w:sz w:val="24"/>
              </w:rPr>
              <w:t xml:space="preserve">Год участия</w:t>
            </w:r>
          </w:p>
        </w:tc>
        <w:tc>
          <w:tcPr>
            <w:tcW w:w="510" w:type="dxa"/>
            <w:vAlign w:val="center"/>
          </w:tcPr>
          <w:p>
            <w:pPr>
              <w:pStyle w:val="0"/>
            </w:pPr>
            <w:r>
              <w:rPr>
                <w:sz w:val="24"/>
              </w:rPr>
            </w:r>
          </w:p>
        </w:tc>
        <w:tc>
          <w:tcPr>
            <w:tcW w:w="1247" w:type="dxa"/>
            <w:vAlign w:val="center"/>
          </w:tcPr>
          <w:p>
            <w:pPr>
              <w:pStyle w:val="0"/>
            </w:pPr>
            <w:r>
              <w:rPr>
                <w:sz w:val="24"/>
              </w:rPr>
            </w:r>
          </w:p>
        </w:tc>
        <w:tc>
          <w:tcPr>
            <w:tcW w:w="1531" w:type="dxa"/>
            <w:vAlign w:val="center"/>
          </w:tcPr>
          <w:p>
            <w:pPr>
              <w:pStyle w:val="0"/>
            </w:pPr>
            <w:r>
              <w:rPr>
                <w:sz w:val="24"/>
              </w:rPr>
            </w:r>
          </w:p>
        </w:tc>
        <w:tc>
          <w:tcPr>
            <w:tcW w:w="1077" w:type="dxa"/>
            <w:vAlign w:val="center"/>
          </w:tcPr>
          <w:p>
            <w:pPr>
              <w:pStyle w:val="0"/>
            </w:pPr>
            <w:r>
              <w:rPr>
                <w:sz w:val="24"/>
              </w:rPr>
            </w:r>
          </w:p>
        </w:tc>
        <w:tc>
          <w:tcPr>
            <w:tcW w:w="907" w:type="dxa"/>
            <w:vAlign w:val="center"/>
          </w:tcPr>
          <w:p>
            <w:pPr>
              <w:pStyle w:val="0"/>
              <w:jc w:val="center"/>
            </w:pPr>
            <w:r>
              <w:rPr>
                <w:sz w:val="24"/>
              </w:rPr>
              <w:t xml:space="preserve">Всего</w:t>
            </w:r>
          </w:p>
        </w:tc>
        <w:tc>
          <w:tcPr>
            <w:tcW w:w="1191" w:type="dxa"/>
            <w:vAlign w:val="center"/>
          </w:tcPr>
          <w:p>
            <w:pPr>
              <w:pStyle w:val="0"/>
            </w:pPr>
            <w:r>
              <w:rPr>
                <w:sz w:val="24"/>
              </w:rPr>
            </w:r>
          </w:p>
        </w:tc>
        <w:tc>
          <w:tcPr>
            <w:tcW w:w="1644" w:type="dxa"/>
            <w:vAlign w:val="center"/>
          </w:tcPr>
          <w:p>
            <w:pPr>
              <w:pStyle w:val="0"/>
            </w:pPr>
            <w:r>
              <w:rPr>
                <w:sz w:val="24"/>
              </w:rPr>
            </w:r>
          </w:p>
        </w:tc>
      </w:tr>
    </w:tbl>
    <w:p>
      <w:pPr>
        <w:pStyle w:val="0"/>
        <w:jc w:val="both"/>
      </w:pPr>
      <w:r>
        <w:rPr>
          <w:sz w:val="24"/>
        </w:rPr>
      </w:r>
    </w:p>
    <w:tbl>
      <w:tblPr>
        <w:tblInd w:w="0" w:type="dxa"/>
        <w:tblLayout w:type="fixed"/>
        <w:tblBorders>
          <w:left w:val="single" w:sz="4"/>
          <w:bottom w:val="single" w:sz="4"/>
          <w:right w:val="single" w:sz="4"/>
          <w:insideV w:val="single" w:sz="4"/>
          <w:insideH w:val="single" w:sz="4"/>
        </w:tblBorders>
        <w:tblCellMar>
          <w:top w:w="102" w:type="dxa"/>
          <w:left w:w="62" w:type="dxa"/>
          <w:bottom w:w="102" w:type="dxa"/>
          <w:right w:w="62" w:type="dxa"/>
        </w:tblCellMar>
      </w:tblPr>
      <w:tblGrid>
        <w:gridCol w:w="964"/>
        <w:gridCol w:w="510"/>
        <w:gridCol w:w="737"/>
        <w:gridCol w:w="1020"/>
        <w:gridCol w:w="964"/>
        <w:gridCol w:w="964"/>
        <w:gridCol w:w="964"/>
        <w:gridCol w:w="964"/>
        <w:gridCol w:w="1020"/>
        <w:gridCol w:w="964"/>
      </w:tblGrid>
      <w:tr>
        <w:tblPrEx>
          <w:tblBorders>
            <w:left w:val="nil"/>
            <w:right w:val="nil"/>
          </w:tblBorders>
        </w:tblPrEx>
        <w:tc>
          <w:tcPr>
            <w:gridSpan w:val="10"/>
            <w:tcW w:w="9071" w:type="dxa"/>
            <w:tcBorders>
              <w:top w:val="nil"/>
              <w:left w:val="nil"/>
              <w:right w:val="nil"/>
            </w:tcBorders>
          </w:tcPr>
          <w:p>
            <w:pPr>
              <w:pStyle w:val="0"/>
              <w:outlineLvl w:val="3"/>
              <w:ind w:left="283"/>
            </w:pPr>
            <w:r>
              <w:rPr>
                <w:sz w:val="24"/>
              </w:rPr>
              <w:t xml:space="preserve">Специализированная медицинская помощь. Дневной стационар. Без ВМП</w:t>
            </w:r>
          </w:p>
        </w:tc>
      </w:tr>
      <w:tr>
        <w:tc>
          <w:tcPr>
            <w:tcW w:w="964" w:type="dxa"/>
          </w:tcPr>
          <w:p>
            <w:pPr>
              <w:pStyle w:val="0"/>
              <w:jc w:val="center"/>
            </w:pPr>
            <w:r>
              <w:rPr>
                <w:sz w:val="24"/>
              </w:rPr>
              <w:t xml:space="preserve">Год</w:t>
            </w:r>
          </w:p>
        </w:tc>
        <w:tc>
          <w:tcPr>
            <w:tcW w:w="510" w:type="dxa"/>
          </w:tcPr>
          <w:p>
            <w:pPr>
              <w:pStyle w:val="0"/>
              <w:jc w:val="center"/>
            </w:pPr>
            <w:r>
              <w:rPr>
                <w:sz w:val="24"/>
              </w:rPr>
              <w:t xml:space="preserve">N пп</w:t>
            </w:r>
          </w:p>
        </w:tc>
        <w:tc>
          <w:tcPr>
            <w:tcW w:w="737" w:type="dxa"/>
          </w:tcPr>
          <w:p>
            <w:pPr>
              <w:pStyle w:val="0"/>
              <w:jc w:val="center"/>
            </w:pPr>
            <w:r>
              <w:rPr>
                <w:sz w:val="24"/>
              </w:rPr>
              <w:t xml:space="preserve">Профиль медицинской помощи</w:t>
            </w:r>
          </w:p>
          <w:p>
            <w:pPr>
              <w:pStyle w:val="0"/>
              <w:jc w:val="center"/>
            </w:pPr>
            <w:r>
              <w:rPr>
                <w:sz w:val="24"/>
              </w:rPr>
              <w:t xml:space="preserve">(Код)</w:t>
            </w:r>
          </w:p>
        </w:tc>
        <w:tc>
          <w:tcPr>
            <w:tcW w:w="1020" w:type="dxa"/>
          </w:tcPr>
          <w:p>
            <w:pPr>
              <w:pStyle w:val="0"/>
              <w:jc w:val="center"/>
            </w:pPr>
            <w:r>
              <w:rPr>
                <w:sz w:val="24"/>
              </w:rPr>
              <w:t xml:space="preserve">Профиль медицинской помощи</w:t>
            </w:r>
          </w:p>
          <w:p>
            <w:pPr>
              <w:pStyle w:val="0"/>
              <w:jc w:val="center"/>
            </w:pPr>
            <w:r>
              <w:rPr>
                <w:sz w:val="24"/>
              </w:rPr>
              <w:t xml:space="preserve">(Наименование)</w:t>
            </w:r>
          </w:p>
        </w:tc>
        <w:tc>
          <w:tcPr>
            <w:tcW w:w="964" w:type="dxa"/>
          </w:tcPr>
          <w:p>
            <w:pPr>
              <w:pStyle w:val="0"/>
              <w:jc w:val="center"/>
            </w:pPr>
            <w:r>
              <w:rPr>
                <w:sz w:val="24"/>
              </w:rPr>
              <w:t xml:space="preserve">Клинико-профильная группа (КПГ)</w:t>
            </w:r>
          </w:p>
          <w:p>
            <w:pPr>
              <w:pStyle w:val="0"/>
              <w:jc w:val="center"/>
            </w:pPr>
            <w:r>
              <w:rPr>
                <w:sz w:val="24"/>
              </w:rPr>
              <w:t xml:space="preserve">(Код)</w:t>
            </w:r>
          </w:p>
        </w:tc>
        <w:tc>
          <w:tcPr>
            <w:tcW w:w="964" w:type="dxa"/>
          </w:tcPr>
          <w:p>
            <w:pPr>
              <w:pStyle w:val="0"/>
              <w:jc w:val="center"/>
            </w:pPr>
            <w:r>
              <w:rPr>
                <w:sz w:val="24"/>
              </w:rPr>
              <w:t xml:space="preserve">Клинико-профильная группа (КПГ)</w:t>
            </w:r>
          </w:p>
          <w:p>
            <w:pPr>
              <w:pStyle w:val="0"/>
              <w:jc w:val="center"/>
            </w:pPr>
            <w:r>
              <w:rPr>
                <w:sz w:val="24"/>
              </w:rPr>
              <w:t xml:space="preserve">(Наименование)</w:t>
            </w:r>
          </w:p>
        </w:tc>
        <w:tc>
          <w:tcPr>
            <w:tcW w:w="964" w:type="dxa"/>
          </w:tcPr>
          <w:p>
            <w:pPr>
              <w:pStyle w:val="0"/>
              <w:jc w:val="center"/>
            </w:pPr>
            <w:r>
              <w:rPr>
                <w:sz w:val="24"/>
              </w:rPr>
              <w:t xml:space="preserve">Клинико-статистическая группа (КСГ)</w:t>
            </w:r>
          </w:p>
          <w:p>
            <w:pPr>
              <w:pStyle w:val="0"/>
              <w:jc w:val="center"/>
            </w:pPr>
            <w:r>
              <w:rPr>
                <w:sz w:val="24"/>
              </w:rPr>
              <w:t xml:space="preserve">(Код)</w:t>
            </w:r>
          </w:p>
        </w:tc>
        <w:tc>
          <w:tcPr>
            <w:tcW w:w="964" w:type="dxa"/>
          </w:tcPr>
          <w:p>
            <w:pPr>
              <w:pStyle w:val="0"/>
              <w:jc w:val="center"/>
            </w:pPr>
            <w:r>
              <w:rPr>
                <w:sz w:val="24"/>
              </w:rPr>
              <w:t xml:space="preserve">Клинико-статистическая группа (КСГ)</w:t>
            </w:r>
          </w:p>
          <w:p>
            <w:pPr>
              <w:pStyle w:val="0"/>
              <w:jc w:val="center"/>
            </w:pPr>
            <w:r>
              <w:rPr>
                <w:sz w:val="24"/>
              </w:rPr>
              <w:t xml:space="preserve">(Наименование)</w:t>
            </w:r>
          </w:p>
        </w:tc>
        <w:tc>
          <w:tcPr>
            <w:tcW w:w="1020" w:type="dxa"/>
          </w:tcPr>
          <w:p>
            <w:pPr>
              <w:pStyle w:val="0"/>
              <w:jc w:val="center"/>
            </w:pPr>
            <w:r>
              <w:rPr>
                <w:sz w:val="24"/>
              </w:rPr>
              <w:t xml:space="preserve">Объем медицинской помощи (случай)</w:t>
            </w:r>
          </w:p>
        </w:tc>
        <w:tc>
          <w:tcPr>
            <w:tcW w:w="964" w:type="dxa"/>
          </w:tcPr>
          <w:p>
            <w:pPr>
              <w:pStyle w:val="0"/>
              <w:jc w:val="center"/>
            </w:pPr>
            <w:r>
              <w:rPr>
                <w:sz w:val="24"/>
              </w:rPr>
              <w:t xml:space="preserve">Объем финансового обеспечения медицинской помощи (руб.)</w:t>
            </w:r>
          </w:p>
        </w:tc>
      </w:tr>
      <w:tr>
        <w:tc>
          <w:tcPr>
            <w:tcW w:w="964" w:type="dxa"/>
            <w:vAlign w:val="center"/>
            <w:vMerge w:val="restart"/>
          </w:tcPr>
          <w:p>
            <w:pPr>
              <w:pStyle w:val="0"/>
              <w:jc w:val="center"/>
            </w:pPr>
            <w:r>
              <w:rPr>
                <w:sz w:val="24"/>
              </w:rPr>
              <w:t xml:space="preserve">Год участия - 3</w:t>
            </w:r>
          </w:p>
        </w:tc>
        <w:tc>
          <w:tcPr>
            <w:tcW w:w="510" w:type="dxa"/>
            <w:vAlign w:val="center"/>
          </w:tcPr>
          <w:p>
            <w:pPr>
              <w:pStyle w:val="0"/>
            </w:pPr>
            <w:r>
              <w:rPr>
                <w:sz w:val="24"/>
              </w:rPr>
            </w:r>
          </w:p>
        </w:tc>
        <w:tc>
          <w:tcPr>
            <w:tcW w:w="737" w:type="dxa"/>
            <w:vAlign w:val="center"/>
          </w:tcPr>
          <w:p>
            <w:pPr>
              <w:pStyle w:val="0"/>
            </w:pPr>
            <w:r>
              <w:rPr>
                <w:sz w:val="24"/>
              </w:rPr>
            </w:r>
          </w:p>
        </w:tc>
        <w:tc>
          <w:tcPr>
            <w:tcW w:w="1020" w:type="dxa"/>
            <w:vAlign w:val="center"/>
          </w:tcPr>
          <w:p>
            <w:pPr>
              <w:pStyle w:val="0"/>
            </w:pPr>
            <w:r>
              <w:rPr>
                <w:sz w:val="24"/>
              </w:rPr>
            </w:r>
          </w:p>
        </w:tc>
        <w:tc>
          <w:tcPr>
            <w:tcW w:w="964" w:type="dxa"/>
            <w:vAlign w:val="center"/>
          </w:tcPr>
          <w:p>
            <w:pPr>
              <w:pStyle w:val="0"/>
            </w:pPr>
            <w:r>
              <w:rPr>
                <w:sz w:val="24"/>
              </w:rPr>
            </w:r>
          </w:p>
        </w:tc>
        <w:tc>
          <w:tcPr>
            <w:tcW w:w="964" w:type="dxa"/>
            <w:vAlign w:val="center"/>
          </w:tcPr>
          <w:p>
            <w:pPr>
              <w:pStyle w:val="0"/>
            </w:pPr>
            <w:r>
              <w:rPr>
                <w:sz w:val="24"/>
              </w:rPr>
            </w:r>
          </w:p>
        </w:tc>
        <w:tc>
          <w:tcPr>
            <w:tcW w:w="964" w:type="dxa"/>
            <w:vAlign w:val="center"/>
          </w:tcPr>
          <w:p>
            <w:pPr>
              <w:pStyle w:val="0"/>
            </w:pPr>
            <w:r>
              <w:rPr>
                <w:sz w:val="24"/>
              </w:rPr>
            </w:r>
          </w:p>
        </w:tc>
        <w:tc>
          <w:tcPr>
            <w:tcW w:w="964" w:type="dxa"/>
            <w:vAlign w:val="center"/>
          </w:tcPr>
          <w:p>
            <w:pPr>
              <w:pStyle w:val="0"/>
              <w:jc w:val="center"/>
            </w:pPr>
            <w:r>
              <w:rPr>
                <w:sz w:val="24"/>
              </w:rPr>
              <w:t xml:space="preserve">Всего</w:t>
            </w:r>
          </w:p>
        </w:tc>
        <w:tc>
          <w:tcPr>
            <w:tcW w:w="1020" w:type="dxa"/>
            <w:vAlign w:val="center"/>
          </w:tcPr>
          <w:p>
            <w:pPr>
              <w:pStyle w:val="0"/>
            </w:pPr>
            <w:r>
              <w:rPr>
                <w:sz w:val="24"/>
              </w:rPr>
            </w:r>
          </w:p>
        </w:tc>
        <w:tc>
          <w:tcPr>
            <w:tcW w:w="964" w:type="dxa"/>
            <w:vAlign w:val="center"/>
          </w:tcPr>
          <w:p>
            <w:pPr>
              <w:pStyle w:val="0"/>
            </w:pPr>
            <w:r>
              <w:rPr>
                <w:sz w:val="24"/>
              </w:rPr>
            </w:r>
          </w:p>
        </w:tc>
      </w:tr>
      <w:tr>
        <w:tc>
          <w:tcPr>
            <w:vMerge w:val="continue"/>
          </w:tcPr>
          <w:p/>
        </w:tc>
        <w:tc>
          <w:tcPr>
            <w:tcW w:w="510" w:type="dxa"/>
            <w:vAlign w:val="center"/>
          </w:tcPr>
          <w:p>
            <w:pPr>
              <w:pStyle w:val="0"/>
            </w:pPr>
            <w:r>
              <w:rPr>
                <w:sz w:val="24"/>
              </w:rPr>
            </w:r>
          </w:p>
        </w:tc>
        <w:tc>
          <w:tcPr>
            <w:tcW w:w="737" w:type="dxa"/>
            <w:vAlign w:val="center"/>
          </w:tcPr>
          <w:p>
            <w:pPr>
              <w:pStyle w:val="0"/>
            </w:pPr>
            <w:r>
              <w:rPr>
                <w:sz w:val="24"/>
              </w:rPr>
            </w:r>
          </w:p>
        </w:tc>
        <w:tc>
          <w:tcPr>
            <w:tcW w:w="1020" w:type="dxa"/>
            <w:vAlign w:val="center"/>
          </w:tcPr>
          <w:p>
            <w:pPr>
              <w:pStyle w:val="0"/>
            </w:pPr>
            <w:r>
              <w:rPr>
                <w:sz w:val="24"/>
              </w:rPr>
            </w:r>
          </w:p>
        </w:tc>
        <w:tc>
          <w:tcPr>
            <w:tcW w:w="964" w:type="dxa"/>
            <w:vAlign w:val="center"/>
          </w:tcPr>
          <w:p>
            <w:pPr>
              <w:pStyle w:val="0"/>
            </w:pPr>
            <w:r>
              <w:rPr>
                <w:sz w:val="24"/>
              </w:rPr>
            </w:r>
          </w:p>
        </w:tc>
        <w:tc>
          <w:tcPr>
            <w:tcW w:w="964" w:type="dxa"/>
            <w:vAlign w:val="center"/>
          </w:tcPr>
          <w:p>
            <w:pPr>
              <w:pStyle w:val="0"/>
            </w:pPr>
            <w:r>
              <w:rPr>
                <w:sz w:val="24"/>
              </w:rPr>
            </w:r>
          </w:p>
        </w:tc>
        <w:tc>
          <w:tcPr>
            <w:tcW w:w="964" w:type="dxa"/>
            <w:vAlign w:val="center"/>
          </w:tcPr>
          <w:p>
            <w:pPr>
              <w:pStyle w:val="0"/>
            </w:pPr>
            <w:r>
              <w:rPr>
                <w:sz w:val="24"/>
              </w:rPr>
            </w:r>
          </w:p>
        </w:tc>
        <w:tc>
          <w:tcPr>
            <w:tcW w:w="964" w:type="dxa"/>
            <w:vAlign w:val="center"/>
          </w:tcPr>
          <w:p>
            <w:pPr>
              <w:pStyle w:val="0"/>
            </w:pPr>
            <w:r>
              <w:rPr>
                <w:sz w:val="24"/>
              </w:rPr>
            </w:r>
          </w:p>
        </w:tc>
        <w:tc>
          <w:tcPr>
            <w:tcW w:w="1020" w:type="dxa"/>
            <w:vAlign w:val="center"/>
          </w:tcPr>
          <w:p>
            <w:pPr>
              <w:pStyle w:val="0"/>
            </w:pPr>
            <w:r>
              <w:rPr>
                <w:sz w:val="24"/>
              </w:rPr>
            </w:r>
          </w:p>
        </w:tc>
        <w:tc>
          <w:tcPr>
            <w:tcW w:w="964" w:type="dxa"/>
            <w:vAlign w:val="center"/>
          </w:tcPr>
          <w:p>
            <w:pPr>
              <w:pStyle w:val="0"/>
            </w:pPr>
            <w:r>
              <w:rPr>
                <w:sz w:val="24"/>
              </w:rPr>
            </w:r>
          </w:p>
        </w:tc>
      </w:tr>
      <w:tr>
        <w:tc>
          <w:tcPr>
            <w:tcW w:w="964" w:type="dxa"/>
            <w:vAlign w:val="center"/>
            <w:vMerge w:val="restart"/>
          </w:tcPr>
          <w:p>
            <w:pPr>
              <w:pStyle w:val="0"/>
              <w:jc w:val="center"/>
            </w:pPr>
            <w:r>
              <w:rPr>
                <w:sz w:val="24"/>
              </w:rPr>
              <w:t xml:space="preserve">Год участия - 2</w:t>
            </w:r>
          </w:p>
        </w:tc>
        <w:tc>
          <w:tcPr>
            <w:tcW w:w="510" w:type="dxa"/>
            <w:vAlign w:val="center"/>
          </w:tcPr>
          <w:p>
            <w:pPr>
              <w:pStyle w:val="0"/>
            </w:pPr>
            <w:r>
              <w:rPr>
                <w:sz w:val="24"/>
              </w:rPr>
            </w:r>
          </w:p>
        </w:tc>
        <w:tc>
          <w:tcPr>
            <w:tcW w:w="737" w:type="dxa"/>
            <w:vAlign w:val="center"/>
          </w:tcPr>
          <w:p>
            <w:pPr>
              <w:pStyle w:val="0"/>
            </w:pPr>
            <w:r>
              <w:rPr>
                <w:sz w:val="24"/>
              </w:rPr>
            </w:r>
          </w:p>
        </w:tc>
        <w:tc>
          <w:tcPr>
            <w:tcW w:w="1020" w:type="dxa"/>
            <w:vAlign w:val="center"/>
          </w:tcPr>
          <w:p>
            <w:pPr>
              <w:pStyle w:val="0"/>
            </w:pPr>
            <w:r>
              <w:rPr>
                <w:sz w:val="24"/>
              </w:rPr>
            </w:r>
          </w:p>
        </w:tc>
        <w:tc>
          <w:tcPr>
            <w:tcW w:w="964" w:type="dxa"/>
            <w:vAlign w:val="center"/>
          </w:tcPr>
          <w:p>
            <w:pPr>
              <w:pStyle w:val="0"/>
            </w:pPr>
            <w:r>
              <w:rPr>
                <w:sz w:val="24"/>
              </w:rPr>
            </w:r>
          </w:p>
        </w:tc>
        <w:tc>
          <w:tcPr>
            <w:tcW w:w="964" w:type="dxa"/>
            <w:vAlign w:val="center"/>
          </w:tcPr>
          <w:p>
            <w:pPr>
              <w:pStyle w:val="0"/>
            </w:pPr>
            <w:r>
              <w:rPr>
                <w:sz w:val="24"/>
              </w:rPr>
            </w:r>
          </w:p>
        </w:tc>
        <w:tc>
          <w:tcPr>
            <w:tcW w:w="964" w:type="dxa"/>
            <w:vAlign w:val="center"/>
          </w:tcPr>
          <w:p>
            <w:pPr>
              <w:pStyle w:val="0"/>
            </w:pPr>
            <w:r>
              <w:rPr>
                <w:sz w:val="24"/>
              </w:rPr>
            </w:r>
          </w:p>
        </w:tc>
        <w:tc>
          <w:tcPr>
            <w:tcW w:w="964" w:type="dxa"/>
            <w:vAlign w:val="center"/>
          </w:tcPr>
          <w:p>
            <w:pPr>
              <w:pStyle w:val="0"/>
              <w:jc w:val="center"/>
            </w:pPr>
            <w:r>
              <w:rPr>
                <w:sz w:val="24"/>
              </w:rPr>
              <w:t xml:space="preserve">Всего</w:t>
            </w:r>
          </w:p>
        </w:tc>
        <w:tc>
          <w:tcPr>
            <w:tcW w:w="1020" w:type="dxa"/>
            <w:vAlign w:val="center"/>
          </w:tcPr>
          <w:p>
            <w:pPr>
              <w:pStyle w:val="0"/>
            </w:pPr>
            <w:r>
              <w:rPr>
                <w:sz w:val="24"/>
              </w:rPr>
            </w:r>
          </w:p>
        </w:tc>
        <w:tc>
          <w:tcPr>
            <w:tcW w:w="964" w:type="dxa"/>
            <w:vAlign w:val="center"/>
          </w:tcPr>
          <w:p>
            <w:pPr>
              <w:pStyle w:val="0"/>
            </w:pPr>
            <w:r>
              <w:rPr>
                <w:sz w:val="24"/>
              </w:rPr>
            </w:r>
          </w:p>
        </w:tc>
      </w:tr>
      <w:tr>
        <w:tc>
          <w:tcPr>
            <w:vMerge w:val="continue"/>
          </w:tcPr>
          <w:p/>
        </w:tc>
        <w:tc>
          <w:tcPr>
            <w:tcW w:w="510" w:type="dxa"/>
            <w:vAlign w:val="center"/>
          </w:tcPr>
          <w:p>
            <w:pPr>
              <w:pStyle w:val="0"/>
            </w:pPr>
            <w:r>
              <w:rPr>
                <w:sz w:val="24"/>
              </w:rPr>
            </w:r>
          </w:p>
        </w:tc>
        <w:tc>
          <w:tcPr>
            <w:tcW w:w="737" w:type="dxa"/>
            <w:vAlign w:val="center"/>
          </w:tcPr>
          <w:p>
            <w:pPr>
              <w:pStyle w:val="0"/>
            </w:pPr>
            <w:r>
              <w:rPr>
                <w:sz w:val="24"/>
              </w:rPr>
            </w:r>
          </w:p>
        </w:tc>
        <w:tc>
          <w:tcPr>
            <w:tcW w:w="1020" w:type="dxa"/>
            <w:vAlign w:val="center"/>
          </w:tcPr>
          <w:p>
            <w:pPr>
              <w:pStyle w:val="0"/>
            </w:pPr>
            <w:r>
              <w:rPr>
                <w:sz w:val="24"/>
              </w:rPr>
            </w:r>
          </w:p>
        </w:tc>
        <w:tc>
          <w:tcPr>
            <w:tcW w:w="964" w:type="dxa"/>
            <w:vAlign w:val="center"/>
          </w:tcPr>
          <w:p>
            <w:pPr>
              <w:pStyle w:val="0"/>
            </w:pPr>
            <w:r>
              <w:rPr>
                <w:sz w:val="24"/>
              </w:rPr>
            </w:r>
          </w:p>
        </w:tc>
        <w:tc>
          <w:tcPr>
            <w:tcW w:w="964" w:type="dxa"/>
            <w:vAlign w:val="center"/>
          </w:tcPr>
          <w:p>
            <w:pPr>
              <w:pStyle w:val="0"/>
            </w:pPr>
            <w:r>
              <w:rPr>
                <w:sz w:val="24"/>
              </w:rPr>
            </w:r>
          </w:p>
        </w:tc>
        <w:tc>
          <w:tcPr>
            <w:tcW w:w="964" w:type="dxa"/>
            <w:vAlign w:val="center"/>
          </w:tcPr>
          <w:p>
            <w:pPr>
              <w:pStyle w:val="0"/>
            </w:pPr>
            <w:r>
              <w:rPr>
                <w:sz w:val="24"/>
              </w:rPr>
            </w:r>
          </w:p>
        </w:tc>
        <w:tc>
          <w:tcPr>
            <w:tcW w:w="964" w:type="dxa"/>
            <w:vAlign w:val="center"/>
          </w:tcPr>
          <w:p>
            <w:pPr>
              <w:pStyle w:val="0"/>
            </w:pPr>
            <w:r>
              <w:rPr>
                <w:sz w:val="24"/>
              </w:rPr>
            </w:r>
          </w:p>
        </w:tc>
        <w:tc>
          <w:tcPr>
            <w:tcW w:w="1020" w:type="dxa"/>
            <w:vAlign w:val="center"/>
          </w:tcPr>
          <w:p>
            <w:pPr>
              <w:pStyle w:val="0"/>
            </w:pPr>
            <w:r>
              <w:rPr>
                <w:sz w:val="24"/>
              </w:rPr>
            </w:r>
          </w:p>
        </w:tc>
        <w:tc>
          <w:tcPr>
            <w:tcW w:w="964" w:type="dxa"/>
            <w:vAlign w:val="center"/>
          </w:tcPr>
          <w:p>
            <w:pPr>
              <w:pStyle w:val="0"/>
            </w:pPr>
            <w:r>
              <w:rPr>
                <w:sz w:val="24"/>
              </w:rPr>
            </w:r>
          </w:p>
        </w:tc>
      </w:tr>
      <w:tr>
        <w:tc>
          <w:tcPr>
            <w:tcW w:w="964" w:type="dxa"/>
            <w:vAlign w:val="center"/>
            <w:vMerge w:val="restart"/>
          </w:tcPr>
          <w:p>
            <w:pPr>
              <w:pStyle w:val="0"/>
              <w:jc w:val="center"/>
            </w:pPr>
            <w:r>
              <w:rPr>
                <w:sz w:val="24"/>
              </w:rPr>
              <w:t xml:space="preserve">Год участия - 1</w:t>
            </w:r>
          </w:p>
        </w:tc>
        <w:tc>
          <w:tcPr>
            <w:tcW w:w="510" w:type="dxa"/>
            <w:vAlign w:val="center"/>
          </w:tcPr>
          <w:p>
            <w:pPr>
              <w:pStyle w:val="0"/>
            </w:pPr>
            <w:r>
              <w:rPr>
                <w:sz w:val="24"/>
              </w:rPr>
            </w:r>
          </w:p>
        </w:tc>
        <w:tc>
          <w:tcPr>
            <w:tcW w:w="737" w:type="dxa"/>
            <w:vAlign w:val="center"/>
          </w:tcPr>
          <w:p>
            <w:pPr>
              <w:pStyle w:val="0"/>
            </w:pPr>
            <w:r>
              <w:rPr>
                <w:sz w:val="24"/>
              </w:rPr>
            </w:r>
          </w:p>
        </w:tc>
        <w:tc>
          <w:tcPr>
            <w:tcW w:w="1020" w:type="dxa"/>
            <w:vAlign w:val="center"/>
          </w:tcPr>
          <w:p>
            <w:pPr>
              <w:pStyle w:val="0"/>
            </w:pPr>
            <w:r>
              <w:rPr>
                <w:sz w:val="24"/>
              </w:rPr>
            </w:r>
          </w:p>
        </w:tc>
        <w:tc>
          <w:tcPr>
            <w:tcW w:w="964" w:type="dxa"/>
            <w:vAlign w:val="center"/>
          </w:tcPr>
          <w:p>
            <w:pPr>
              <w:pStyle w:val="0"/>
            </w:pPr>
            <w:r>
              <w:rPr>
                <w:sz w:val="24"/>
              </w:rPr>
            </w:r>
          </w:p>
        </w:tc>
        <w:tc>
          <w:tcPr>
            <w:tcW w:w="964" w:type="dxa"/>
            <w:vAlign w:val="center"/>
          </w:tcPr>
          <w:p>
            <w:pPr>
              <w:pStyle w:val="0"/>
            </w:pPr>
            <w:r>
              <w:rPr>
                <w:sz w:val="24"/>
              </w:rPr>
            </w:r>
          </w:p>
        </w:tc>
        <w:tc>
          <w:tcPr>
            <w:tcW w:w="964" w:type="dxa"/>
            <w:vAlign w:val="center"/>
          </w:tcPr>
          <w:p>
            <w:pPr>
              <w:pStyle w:val="0"/>
            </w:pPr>
            <w:r>
              <w:rPr>
                <w:sz w:val="24"/>
              </w:rPr>
            </w:r>
          </w:p>
        </w:tc>
        <w:tc>
          <w:tcPr>
            <w:tcW w:w="964" w:type="dxa"/>
            <w:vAlign w:val="center"/>
          </w:tcPr>
          <w:p>
            <w:pPr>
              <w:pStyle w:val="0"/>
              <w:jc w:val="center"/>
            </w:pPr>
            <w:r>
              <w:rPr>
                <w:sz w:val="24"/>
              </w:rPr>
              <w:t xml:space="preserve">Всего</w:t>
            </w:r>
          </w:p>
        </w:tc>
        <w:tc>
          <w:tcPr>
            <w:tcW w:w="1020" w:type="dxa"/>
            <w:vAlign w:val="center"/>
          </w:tcPr>
          <w:p>
            <w:pPr>
              <w:pStyle w:val="0"/>
            </w:pPr>
            <w:r>
              <w:rPr>
                <w:sz w:val="24"/>
              </w:rPr>
            </w:r>
          </w:p>
        </w:tc>
        <w:tc>
          <w:tcPr>
            <w:tcW w:w="964" w:type="dxa"/>
            <w:vAlign w:val="center"/>
          </w:tcPr>
          <w:p>
            <w:pPr>
              <w:pStyle w:val="0"/>
            </w:pPr>
            <w:r>
              <w:rPr>
                <w:sz w:val="24"/>
              </w:rPr>
            </w:r>
          </w:p>
        </w:tc>
      </w:tr>
      <w:tr>
        <w:tc>
          <w:tcPr>
            <w:vMerge w:val="continue"/>
          </w:tcPr>
          <w:p/>
        </w:tc>
        <w:tc>
          <w:tcPr>
            <w:tcW w:w="510" w:type="dxa"/>
            <w:vAlign w:val="center"/>
          </w:tcPr>
          <w:p>
            <w:pPr>
              <w:pStyle w:val="0"/>
            </w:pPr>
            <w:r>
              <w:rPr>
                <w:sz w:val="24"/>
              </w:rPr>
            </w:r>
          </w:p>
        </w:tc>
        <w:tc>
          <w:tcPr>
            <w:tcW w:w="737" w:type="dxa"/>
            <w:vAlign w:val="center"/>
          </w:tcPr>
          <w:p>
            <w:pPr>
              <w:pStyle w:val="0"/>
            </w:pPr>
            <w:r>
              <w:rPr>
                <w:sz w:val="24"/>
              </w:rPr>
            </w:r>
          </w:p>
        </w:tc>
        <w:tc>
          <w:tcPr>
            <w:tcW w:w="1020" w:type="dxa"/>
            <w:vAlign w:val="center"/>
          </w:tcPr>
          <w:p>
            <w:pPr>
              <w:pStyle w:val="0"/>
            </w:pPr>
            <w:r>
              <w:rPr>
                <w:sz w:val="24"/>
              </w:rPr>
            </w:r>
          </w:p>
        </w:tc>
        <w:tc>
          <w:tcPr>
            <w:tcW w:w="964" w:type="dxa"/>
            <w:vAlign w:val="center"/>
          </w:tcPr>
          <w:p>
            <w:pPr>
              <w:pStyle w:val="0"/>
            </w:pPr>
            <w:r>
              <w:rPr>
                <w:sz w:val="24"/>
              </w:rPr>
            </w:r>
          </w:p>
        </w:tc>
        <w:tc>
          <w:tcPr>
            <w:tcW w:w="964" w:type="dxa"/>
            <w:vAlign w:val="center"/>
          </w:tcPr>
          <w:p>
            <w:pPr>
              <w:pStyle w:val="0"/>
            </w:pPr>
            <w:r>
              <w:rPr>
                <w:sz w:val="24"/>
              </w:rPr>
            </w:r>
          </w:p>
        </w:tc>
        <w:tc>
          <w:tcPr>
            <w:tcW w:w="964" w:type="dxa"/>
            <w:vAlign w:val="center"/>
          </w:tcPr>
          <w:p>
            <w:pPr>
              <w:pStyle w:val="0"/>
            </w:pPr>
            <w:r>
              <w:rPr>
                <w:sz w:val="24"/>
              </w:rPr>
            </w:r>
          </w:p>
        </w:tc>
        <w:tc>
          <w:tcPr>
            <w:tcW w:w="964" w:type="dxa"/>
            <w:vAlign w:val="center"/>
          </w:tcPr>
          <w:p>
            <w:pPr>
              <w:pStyle w:val="0"/>
            </w:pPr>
            <w:r>
              <w:rPr>
                <w:sz w:val="24"/>
              </w:rPr>
            </w:r>
          </w:p>
        </w:tc>
        <w:tc>
          <w:tcPr>
            <w:tcW w:w="1020" w:type="dxa"/>
            <w:vAlign w:val="center"/>
          </w:tcPr>
          <w:p>
            <w:pPr>
              <w:pStyle w:val="0"/>
            </w:pPr>
            <w:r>
              <w:rPr>
                <w:sz w:val="24"/>
              </w:rPr>
            </w:r>
          </w:p>
        </w:tc>
        <w:tc>
          <w:tcPr>
            <w:tcW w:w="964" w:type="dxa"/>
            <w:vAlign w:val="center"/>
          </w:tcPr>
          <w:p>
            <w:pPr>
              <w:pStyle w:val="0"/>
            </w:pPr>
            <w:r>
              <w:rPr>
                <w:sz w:val="24"/>
              </w:rPr>
            </w:r>
          </w:p>
        </w:tc>
      </w:tr>
    </w:tbl>
    <w:p>
      <w:pPr>
        <w:pStyle w:val="0"/>
        <w:jc w:val="both"/>
      </w:pPr>
      <w:r>
        <w:rPr>
          <w:sz w:val="24"/>
        </w:rPr>
      </w:r>
    </w:p>
    <w:tbl>
      <w:tblPr>
        <w:tblInd w:w="0" w:type="dxa"/>
        <w:tblLayout w:type="fixed"/>
        <w:tblBorders>
          <w:left w:val="single" w:sz="4"/>
          <w:bottom w:val="single" w:sz="4"/>
          <w:right w:val="single" w:sz="4"/>
          <w:insideV w:val="single" w:sz="4"/>
          <w:insideH w:val="single" w:sz="4"/>
        </w:tblBorders>
        <w:tblCellMar>
          <w:top w:w="102" w:type="dxa"/>
          <w:left w:w="62" w:type="dxa"/>
          <w:bottom w:w="102" w:type="dxa"/>
          <w:right w:w="62" w:type="dxa"/>
        </w:tblCellMar>
      </w:tblPr>
      <w:tblGrid>
        <w:gridCol w:w="964"/>
        <w:gridCol w:w="510"/>
        <w:gridCol w:w="1247"/>
        <w:gridCol w:w="1531"/>
        <w:gridCol w:w="1077"/>
        <w:gridCol w:w="907"/>
        <w:gridCol w:w="1191"/>
        <w:gridCol w:w="1644"/>
      </w:tblGrid>
      <w:tr>
        <w:tblPrEx>
          <w:tblBorders>
            <w:left w:val="nil"/>
            <w:right w:val="nil"/>
          </w:tblBorders>
        </w:tblPrEx>
        <w:tc>
          <w:tcPr>
            <w:gridSpan w:val="8"/>
            <w:tcW w:w="9071" w:type="dxa"/>
            <w:tcBorders>
              <w:top w:val="nil"/>
              <w:left w:val="nil"/>
              <w:right w:val="nil"/>
            </w:tcBorders>
          </w:tcPr>
          <w:p>
            <w:pPr>
              <w:pStyle w:val="0"/>
              <w:outlineLvl w:val="3"/>
              <w:ind w:left="283"/>
            </w:pPr>
            <w:r>
              <w:rPr>
                <w:sz w:val="24"/>
              </w:rPr>
              <w:t xml:space="preserve">Специализированная медицинская помощь. Дневной стационар. ВМП</w:t>
            </w:r>
          </w:p>
        </w:tc>
      </w:tr>
      <w:tr>
        <w:tc>
          <w:tcPr>
            <w:tcW w:w="964" w:type="dxa"/>
          </w:tcPr>
          <w:p>
            <w:pPr>
              <w:pStyle w:val="0"/>
              <w:jc w:val="center"/>
            </w:pPr>
            <w:r>
              <w:rPr>
                <w:sz w:val="24"/>
              </w:rPr>
              <w:t xml:space="preserve">Год</w:t>
            </w:r>
          </w:p>
        </w:tc>
        <w:tc>
          <w:tcPr>
            <w:tcW w:w="510" w:type="dxa"/>
          </w:tcPr>
          <w:p>
            <w:pPr>
              <w:pStyle w:val="0"/>
              <w:jc w:val="center"/>
            </w:pPr>
            <w:r>
              <w:rPr>
                <w:sz w:val="24"/>
              </w:rPr>
              <w:t xml:space="preserve">N пп</w:t>
            </w:r>
          </w:p>
        </w:tc>
        <w:tc>
          <w:tcPr>
            <w:tcW w:w="1247" w:type="dxa"/>
          </w:tcPr>
          <w:p>
            <w:pPr>
              <w:pStyle w:val="0"/>
              <w:jc w:val="center"/>
            </w:pPr>
            <w:r>
              <w:rPr>
                <w:sz w:val="24"/>
              </w:rPr>
              <w:t xml:space="preserve">(Профиль медицинской помощи)</w:t>
            </w:r>
          </w:p>
          <w:p>
            <w:pPr>
              <w:pStyle w:val="0"/>
              <w:jc w:val="center"/>
            </w:pPr>
            <w:r>
              <w:rPr>
                <w:sz w:val="24"/>
              </w:rPr>
              <w:t xml:space="preserve">Код</w:t>
            </w:r>
          </w:p>
        </w:tc>
        <w:tc>
          <w:tcPr>
            <w:tcW w:w="1531" w:type="dxa"/>
          </w:tcPr>
          <w:p>
            <w:pPr>
              <w:pStyle w:val="0"/>
              <w:jc w:val="center"/>
            </w:pPr>
            <w:r>
              <w:rPr>
                <w:sz w:val="24"/>
              </w:rPr>
              <w:t xml:space="preserve">(Профиль медицинской помощи)</w:t>
            </w:r>
          </w:p>
          <w:p>
            <w:pPr>
              <w:pStyle w:val="0"/>
              <w:jc w:val="center"/>
            </w:pPr>
            <w:r>
              <w:rPr>
                <w:sz w:val="24"/>
              </w:rPr>
              <w:t xml:space="preserve">Наименование</w:t>
            </w:r>
          </w:p>
        </w:tc>
        <w:tc>
          <w:tcPr>
            <w:tcW w:w="1077" w:type="dxa"/>
          </w:tcPr>
          <w:p>
            <w:pPr>
              <w:pStyle w:val="0"/>
              <w:jc w:val="center"/>
            </w:pPr>
            <w:r>
              <w:rPr>
                <w:sz w:val="24"/>
              </w:rPr>
              <w:t xml:space="preserve">Номер группы ВМП</w:t>
            </w:r>
          </w:p>
        </w:tc>
        <w:tc>
          <w:tcPr>
            <w:tcW w:w="907" w:type="dxa"/>
          </w:tcPr>
          <w:p>
            <w:pPr>
              <w:pStyle w:val="0"/>
              <w:jc w:val="center"/>
            </w:pPr>
            <w:r>
              <w:rPr>
                <w:sz w:val="24"/>
              </w:rPr>
              <w:t xml:space="preserve">Вид ВМП</w:t>
            </w:r>
          </w:p>
        </w:tc>
        <w:tc>
          <w:tcPr>
            <w:tcW w:w="1191" w:type="dxa"/>
          </w:tcPr>
          <w:p>
            <w:pPr>
              <w:pStyle w:val="0"/>
              <w:jc w:val="center"/>
            </w:pPr>
            <w:r>
              <w:rPr>
                <w:sz w:val="24"/>
              </w:rPr>
              <w:t xml:space="preserve">Объем медицинской помощи (случай)</w:t>
            </w:r>
          </w:p>
        </w:tc>
        <w:tc>
          <w:tcPr>
            <w:tcW w:w="1644" w:type="dxa"/>
          </w:tcPr>
          <w:p>
            <w:pPr>
              <w:pStyle w:val="0"/>
              <w:jc w:val="center"/>
            </w:pPr>
            <w:r>
              <w:rPr>
                <w:sz w:val="24"/>
              </w:rPr>
              <w:t xml:space="preserve">Объем финансового обеспечения медицинской помощи (руб.)</w:t>
            </w:r>
          </w:p>
        </w:tc>
      </w:tr>
      <w:tr>
        <w:tc>
          <w:tcPr>
            <w:tcW w:w="964" w:type="dxa"/>
            <w:vAlign w:val="center"/>
            <w:vMerge w:val="restart"/>
          </w:tcPr>
          <w:p>
            <w:pPr>
              <w:pStyle w:val="0"/>
              <w:jc w:val="center"/>
            </w:pPr>
            <w:r>
              <w:rPr>
                <w:sz w:val="24"/>
              </w:rPr>
              <w:t xml:space="preserve">Год участия - 3</w:t>
            </w:r>
          </w:p>
        </w:tc>
        <w:tc>
          <w:tcPr>
            <w:tcW w:w="510" w:type="dxa"/>
            <w:vAlign w:val="center"/>
          </w:tcPr>
          <w:p>
            <w:pPr>
              <w:pStyle w:val="0"/>
            </w:pPr>
            <w:r>
              <w:rPr>
                <w:sz w:val="24"/>
              </w:rPr>
            </w:r>
          </w:p>
        </w:tc>
        <w:tc>
          <w:tcPr>
            <w:tcW w:w="1247" w:type="dxa"/>
            <w:vAlign w:val="center"/>
          </w:tcPr>
          <w:p>
            <w:pPr>
              <w:pStyle w:val="0"/>
            </w:pPr>
            <w:r>
              <w:rPr>
                <w:sz w:val="24"/>
              </w:rPr>
            </w:r>
          </w:p>
        </w:tc>
        <w:tc>
          <w:tcPr>
            <w:tcW w:w="1531" w:type="dxa"/>
            <w:vAlign w:val="center"/>
          </w:tcPr>
          <w:p>
            <w:pPr>
              <w:pStyle w:val="0"/>
            </w:pPr>
            <w:r>
              <w:rPr>
                <w:sz w:val="24"/>
              </w:rPr>
            </w:r>
          </w:p>
        </w:tc>
        <w:tc>
          <w:tcPr>
            <w:tcW w:w="1077" w:type="dxa"/>
            <w:vAlign w:val="center"/>
          </w:tcPr>
          <w:p>
            <w:pPr>
              <w:pStyle w:val="0"/>
            </w:pPr>
            <w:r>
              <w:rPr>
                <w:sz w:val="24"/>
              </w:rPr>
            </w:r>
          </w:p>
        </w:tc>
        <w:tc>
          <w:tcPr>
            <w:tcW w:w="907" w:type="dxa"/>
            <w:vAlign w:val="center"/>
          </w:tcPr>
          <w:p>
            <w:pPr>
              <w:pStyle w:val="0"/>
              <w:jc w:val="center"/>
            </w:pPr>
            <w:r>
              <w:rPr>
                <w:sz w:val="24"/>
              </w:rPr>
              <w:t xml:space="preserve">Всего</w:t>
            </w:r>
          </w:p>
        </w:tc>
        <w:tc>
          <w:tcPr>
            <w:tcW w:w="1191" w:type="dxa"/>
            <w:vAlign w:val="center"/>
          </w:tcPr>
          <w:p>
            <w:pPr>
              <w:pStyle w:val="0"/>
            </w:pPr>
            <w:r>
              <w:rPr>
                <w:sz w:val="24"/>
              </w:rPr>
            </w:r>
          </w:p>
        </w:tc>
        <w:tc>
          <w:tcPr>
            <w:tcW w:w="1644" w:type="dxa"/>
            <w:vAlign w:val="center"/>
          </w:tcPr>
          <w:p>
            <w:pPr>
              <w:pStyle w:val="0"/>
            </w:pPr>
            <w:r>
              <w:rPr>
                <w:sz w:val="24"/>
              </w:rPr>
            </w:r>
          </w:p>
        </w:tc>
      </w:tr>
      <w:tr>
        <w:tc>
          <w:tcPr>
            <w:vMerge w:val="continue"/>
          </w:tcPr>
          <w:p/>
        </w:tc>
        <w:tc>
          <w:tcPr>
            <w:tcW w:w="510" w:type="dxa"/>
            <w:vAlign w:val="center"/>
          </w:tcPr>
          <w:p>
            <w:pPr>
              <w:pStyle w:val="0"/>
            </w:pPr>
            <w:r>
              <w:rPr>
                <w:sz w:val="24"/>
              </w:rPr>
            </w:r>
          </w:p>
        </w:tc>
        <w:tc>
          <w:tcPr>
            <w:tcW w:w="1247" w:type="dxa"/>
            <w:vAlign w:val="center"/>
          </w:tcPr>
          <w:p>
            <w:pPr>
              <w:pStyle w:val="0"/>
            </w:pPr>
            <w:r>
              <w:rPr>
                <w:sz w:val="24"/>
              </w:rPr>
            </w:r>
          </w:p>
        </w:tc>
        <w:tc>
          <w:tcPr>
            <w:tcW w:w="1531" w:type="dxa"/>
            <w:vAlign w:val="center"/>
          </w:tcPr>
          <w:p>
            <w:pPr>
              <w:pStyle w:val="0"/>
            </w:pPr>
            <w:r>
              <w:rPr>
                <w:sz w:val="24"/>
              </w:rPr>
            </w:r>
          </w:p>
        </w:tc>
        <w:tc>
          <w:tcPr>
            <w:tcW w:w="1077" w:type="dxa"/>
            <w:vAlign w:val="center"/>
          </w:tcPr>
          <w:p>
            <w:pPr>
              <w:pStyle w:val="0"/>
            </w:pPr>
            <w:r>
              <w:rPr>
                <w:sz w:val="24"/>
              </w:rPr>
            </w:r>
          </w:p>
        </w:tc>
        <w:tc>
          <w:tcPr>
            <w:tcW w:w="907" w:type="dxa"/>
            <w:vAlign w:val="center"/>
          </w:tcPr>
          <w:p>
            <w:pPr>
              <w:pStyle w:val="0"/>
            </w:pPr>
            <w:r>
              <w:rPr>
                <w:sz w:val="24"/>
              </w:rPr>
            </w:r>
          </w:p>
        </w:tc>
        <w:tc>
          <w:tcPr>
            <w:tcW w:w="1191" w:type="dxa"/>
            <w:vAlign w:val="center"/>
          </w:tcPr>
          <w:p>
            <w:pPr>
              <w:pStyle w:val="0"/>
            </w:pPr>
            <w:r>
              <w:rPr>
                <w:sz w:val="24"/>
              </w:rPr>
            </w:r>
          </w:p>
        </w:tc>
        <w:tc>
          <w:tcPr>
            <w:tcW w:w="1644" w:type="dxa"/>
            <w:vAlign w:val="center"/>
          </w:tcPr>
          <w:p>
            <w:pPr>
              <w:pStyle w:val="0"/>
            </w:pPr>
            <w:r>
              <w:rPr>
                <w:sz w:val="24"/>
              </w:rPr>
            </w:r>
          </w:p>
        </w:tc>
      </w:tr>
      <w:tr>
        <w:tc>
          <w:tcPr>
            <w:tcW w:w="964" w:type="dxa"/>
            <w:vAlign w:val="center"/>
            <w:vMerge w:val="restart"/>
          </w:tcPr>
          <w:p>
            <w:pPr>
              <w:pStyle w:val="0"/>
              <w:jc w:val="center"/>
            </w:pPr>
            <w:r>
              <w:rPr>
                <w:sz w:val="24"/>
              </w:rPr>
              <w:t xml:space="preserve">Год участия - 2</w:t>
            </w:r>
          </w:p>
        </w:tc>
        <w:tc>
          <w:tcPr>
            <w:tcW w:w="510" w:type="dxa"/>
            <w:vAlign w:val="center"/>
          </w:tcPr>
          <w:p>
            <w:pPr>
              <w:pStyle w:val="0"/>
            </w:pPr>
            <w:r>
              <w:rPr>
                <w:sz w:val="24"/>
              </w:rPr>
            </w:r>
          </w:p>
        </w:tc>
        <w:tc>
          <w:tcPr>
            <w:tcW w:w="1247" w:type="dxa"/>
            <w:vAlign w:val="center"/>
          </w:tcPr>
          <w:p>
            <w:pPr>
              <w:pStyle w:val="0"/>
            </w:pPr>
            <w:r>
              <w:rPr>
                <w:sz w:val="24"/>
              </w:rPr>
            </w:r>
          </w:p>
        </w:tc>
        <w:tc>
          <w:tcPr>
            <w:tcW w:w="1531" w:type="dxa"/>
            <w:vAlign w:val="center"/>
          </w:tcPr>
          <w:p>
            <w:pPr>
              <w:pStyle w:val="0"/>
            </w:pPr>
            <w:r>
              <w:rPr>
                <w:sz w:val="24"/>
              </w:rPr>
            </w:r>
          </w:p>
        </w:tc>
        <w:tc>
          <w:tcPr>
            <w:tcW w:w="1077" w:type="dxa"/>
            <w:vAlign w:val="center"/>
          </w:tcPr>
          <w:p>
            <w:pPr>
              <w:pStyle w:val="0"/>
            </w:pPr>
            <w:r>
              <w:rPr>
                <w:sz w:val="24"/>
              </w:rPr>
            </w:r>
          </w:p>
        </w:tc>
        <w:tc>
          <w:tcPr>
            <w:tcW w:w="907" w:type="dxa"/>
            <w:vAlign w:val="center"/>
          </w:tcPr>
          <w:p>
            <w:pPr>
              <w:pStyle w:val="0"/>
              <w:jc w:val="center"/>
            </w:pPr>
            <w:r>
              <w:rPr>
                <w:sz w:val="24"/>
              </w:rPr>
              <w:t xml:space="preserve">Всего</w:t>
            </w:r>
          </w:p>
        </w:tc>
        <w:tc>
          <w:tcPr>
            <w:tcW w:w="1191" w:type="dxa"/>
            <w:vAlign w:val="center"/>
          </w:tcPr>
          <w:p>
            <w:pPr>
              <w:pStyle w:val="0"/>
            </w:pPr>
            <w:r>
              <w:rPr>
                <w:sz w:val="24"/>
              </w:rPr>
            </w:r>
          </w:p>
        </w:tc>
        <w:tc>
          <w:tcPr>
            <w:tcW w:w="1644" w:type="dxa"/>
            <w:vAlign w:val="center"/>
          </w:tcPr>
          <w:p>
            <w:pPr>
              <w:pStyle w:val="0"/>
            </w:pPr>
            <w:r>
              <w:rPr>
                <w:sz w:val="24"/>
              </w:rPr>
            </w:r>
          </w:p>
        </w:tc>
      </w:tr>
      <w:tr>
        <w:tc>
          <w:tcPr>
            <w:vMerge w:val="continue"/>
          </w:tcPr>
          <w:p/>
        </w:tc>
        <w:tc>
          <w:tcPr>
            <w:tcW w:w="510" w:type="dxa"/>
            <w:vAlign w:val="center"/>
          </w:tcPr>
          <w:p>
            <w:pPr>
              <w:pStyle w:val="0"/>
            </w:pPr>
            <w:r>
              <w:rPr>
                <w:sz w:val="24"/>
              </w:rPr>
            </w:r>
          </w:p>
        </w:tc>
        <w:tc>
          <w:tcPr>
            <w:tcW w:w="1247" w:type="dxa"/>
            <w:vAlign w:val="center"/>
          </w:tcPr>
          <w:p>
            <w:pPr>
              <w:pStyle w:val="0"/>
            </w:pPr>
            <w:r>
              <w:rPr>
                <w:sz w:val="24"/>
              </w:rPr>
            </w:r>
          </w:p>
        </w:tc>
        <w:tc>
          <w:tcPr>
            <w:tcW w:w="1531" w:type="dxa"/>
            <w:vAlign w:val="center"/>
          </w:tcPr>
          <w:p>
            <w:pPr>
              <w:pStyle w:val="0"/>
            </w:pPr>
            <w:r>
              <w:rPr>
                <w:sz w:val="24"/>
              </w:rPr>
            </w:r>
          </w:p>
        </w:tc>
        <w:tc>
          <w:tcPr>
            <w:tcW w:w="1077" w:type="dxa"/>
            <w:vAlign w:val="center"/>
          </w:tcPr>
          <w:p>
            <w:pPr>
              <w:pStyle w:val="0"/>
            </w:pPr>
            <w:r>
              <w:rPr>
                <w:sz w:val="24"/>
              </w:rPr>
            </w:r>
          </w:p>
        </w:tc>
        <w:tc>
          <w:tcPr>
            <w:tcW w:w="907" w:type="dxa"/>
            <w:vAlign w:val="center"/>
          </w:tcPr>
          <w:p>
            <w:pPr>
              <w:pStyle w:val="0"/>
            </w:pPr>
            <w:r>
              <w:rPr>
                <w:sz w:val="24"/>
              </w:rPr>
            </w:r>
          </w:p>
        </w:tc>
        <w:tc>
          <w:tcPr>
            <w:tcW w:w="1191" w:type="dxa"/>
            <w:vAlign w:val="center"/>
          </w:tcPr>
          <w:p>
            <w:pPr>
              <w:pStyle w:val="0"/>
            </w:pPr>
            <w:r>
              <w:rPr>
                <w:sz w:val="24"/>
              </w:rPr>
            </w:r>
          </w:p>
        </w:tc>
        <w:tc>
          <w:tcPr>
            <w:tcW w:w="1644" w:type="dxa"/>
            <w:vAlign w:val="center"/>
          </w:tcPr>
          <w:p>
            <w:pPr>
              <w:pStyle w:val="0"/>
            </w:pPr>
            <w:r>
              <w:rPr>
                <w:sz w:val="24"/>
              </w:rPr>
            </w:r>
          </w:p>
        </w:tc>
      </w:tr>
      <w:tr>
        <w:tc>
          <w:tcPr>
            <w:tcW w:w="964" w:type="dxa"/>
            <w:vAlign w:val="center"/>
            <w:vMerge w:val="restart"/>
          </w:tcPr>
          <w:p>
            <w:pPr>
              <w:pStyle w:val="0"/>
              <w:jc w:val="center"/>
            </w:pPr>
            <w:r>
              <w:rPr>
                <w:sz w:val="24"/>
              </w:rPr>
              <w:t xml:space="preserve">Год участия - 1</w:t>
            </w:r>
          </w:p>
        </w:tc>
        <w:tc>
          <w:tcPr>
            <w:tcW w:w="510" w:type="dxa"/>
            <w:vAlign w:val="center"/>
          </w:tcPr>
          <w:p>
            <w:pPr>
              <w:pStyle w:val="0"/>
            </w:pPr>
            <w:r>
              <w:rPr>
                <w:sz w:val="24"/>
              </w:rPr>
            </w:r>
          </w:p>
        </w:tc>
        <w:tc>
          <w:tcPr>
            <w:tcW w:w="1247" w:type="dxa"/>
            <w:vAlign w:val="center"/>
          </w:tcPr>
          <w:p>
            <w:pPr>
              <w:pStyle w:val="0"/>
            </w:pPr>
            <w:r>
              <w:rPr>
                <w:sz w:val="24"/>
              </w:rPr>
            </w:r>
          </w:p>
        </w:tc>
        <w:tc>
          <w:tcPr>
            <w:tcW w:w="1531" w:type="dxa"/>
            <w:vAlign w:val="center"/>
          </w:tcPr>
          <w:p>
            <w:pPr>
              <w:pStyle w:val="0"/>
            </w:pPr>
            <w:r>
              <w:rPr>
                <w:sz w:val="24"/>
              </w:rPr>
            </w:r>
          </w:p>
        </w:tc>
        <w:tc>
          <w:tcPr>
            <w:tcW w:w="1077" w:type="dxa"/>
            <w:vAlign w:val="center"/>
          </w:tcPr>
          <w:p>
            <w:pPr>
              <w:pStyle w:val="0"/>
            </w:pPr>
            <w:r>
              <w:rPr>
                <w:sz w:val="24"/>
              </w:rPr>
            </w:r>
          </w:p>
        </w:tc>
        <w:tc>
          <w:tcPr>
            <w:tcW w:w="907" w:type="dxa"/>
            <w:vAlign w:val="center"/>
          </w:tcPr>
          <w:p>
            <w:pPr>
              <w:pStyle w:val="0"/>
              <w:jc w:val="center"/>
            </w:pPr>
            <w:r>
              <w:rPr>
                <w:sz w:val="24"/>
              </w:rPr>
              <w:t xml:space="preserve">Всего</w:t>
            </w:r>
          </w:p>
        </w:tc>
        <w:tc>
          <w:tcPr>
            <w:tcW w:w="1191" w:type="dxa"/>
            <w:vAlign w:val="center"/>
          </w:tcPr>
          <w:p>
            <w:pPr>
              <w:pStyle w:val="0"/>
            </w:pPr>
            <w:r>
              <w:rPr>
                <w:sz w:val="24"/>
              </w:rPr>
            </w:r>
          </w:p>
        </w:tc>
        <w:tc>
          <w:tcPr>
            <w:tcW w:w="1644" w:type="dxa"/>
            <w:vAlign w:val="center"/>
          </w:tcPr>
          <w:p>
            <w:pPr>
              <w:pStyle w:val="0"/>
            </w:pPr>
            <w:r>
              <w:rPr>
                <w:sz w:val="24"/>
              </w:rPr>
            </w:r>
          </w:p>
        </w:tc>
      </w:tr>
      <w:tr>
        <w:tc>
          <w:tcPr>
            <w:vMerge w:val="continue"/>
          </w:tcPr>
          <w:p/>
        </w:tc>
        <w:tc>
          <w:tcPr>
            <w:tcW w:w="510" w:type="dxa"/>
            <w:vAlign w:val="center"/>
          </w:tcPr>
          <w:p>
            <w:pPr>
              <w:pStyle w:val="0"/>
            </w:pPr>
            <w:r>
              <w:rPr>
                <w:sz w:val="24"/>
              </w:rPr>
            </w:r>
          </w:p>
        </w:tc>
        <w:tc>
          <w:tcPr>
            <w:tcW w:w="1247" w:type="dxa"/>
            <w:vAlign w:val="center"/>
          </w:tcPr>
          <w:p>
            <w:pPr>
              <w:pStyle w:val="0"/>
            </w:pPr>
            <w:r>
              <w:rPr>
                <w:sz w:val="24"/>
              </w:rPr>
            </w:r>
          </w:p>
        </w:tc>
        <w:tc>
          <w:tcPr>
            <w:tcW w:w="1531" w:type="dxa"/>
            <w:vAlign w:val="center"/>
          </w:tcPr>
          <w:p>
            <w:pPr>
              <w:pStyle w:val="0"/>
            </w:pPr>
            <w:r>
              <w:rPr>
                <w:sz w:val="24"/>
              </w:rPr>
            </w:r>
          </w:p>
        </w:tc>
        <w:tc>
          <w:tcPr>
            <w:tcW w:w="1077" w:type="dxa"/>
            <w:vAlign w:val="center"/>
          </w:tcPr>
          <w:p>
            <w:pPr>
              <w:pStyle w:val="0"/>
            </w:pPr>
            <w:r>
              <w:rPr>
                <w:sz w:val="24"/>
              </w:rPr>
            </w:r>
          </w:p>
        </w:tc>
        <w:tc>
          <w:tcPr>
            <w:tcW w:w="907" w:type="dxa"/>
            <w:vAlign w:val="center"/>
          </w:tcPr>
          <w:p>
            <w:pPr>
              <w:pStyle w:val="0"/>
            </w:pPr>
            <w:r>
              <w:rPr>
                <w:sz w:val="24"/>
              </w:rPr>
            </w:r>
          </w:p>
        </w:tc>
        <w:tc>
          <w:tcPr>
            <w:tcW w:w="1191" w:type="dxa"/>
            <w:vAlign w:val="center"/>
          </w:tcPr>
          <w:p>
            <w:pPr>
              <w:pStyle w:val="0"/>
            </w:pPr>
            <w:r>
              <w:rPr>
                <w:sz w:val="24"/>
              </w:rPr>
            </w:r>
          </w:p>
        </w:tc>
        <w:tc>
          <w:tcPr>
            <w:tcW w:w="1644" w:type="dxa"/>
            <w:vAlign w:val="center"/>
          </w:tcPr>
          <w:p>
            <w:pPr>
              <w:pStyle w:val="0"/>
            </w:pPr>
            <w:r>
              <w:rPr>
                <w:sz w:val="24"/>
              </w:rPr>
            </w:r>
          </w:p>
        </w:tc>
      </w:tr>
    </w:tbl>
    <w:p>
      <w:pPr>
        <w:pStyle w:val="0"/>
        <w:jc w:val="both"/>
      </w:pPr>
      <w:r>
        <w:rPr>
          <w:sz w:val="24"/>
        </w:rPr>
      </w:r>
    </w:p>
    <w:p>
      <w:pPr>
        <w:sectPr>
          <w:headerReference w:type="default" r:id="rId6"/>
          <w:headerReference w:type="first" r:id="rId6"/>
          <w:footerReference w:type="default" r:id="rId7"/>
          <w:footerReference w:type="first" r:id="rId7"/>
          <w:pgSz w:w="11906" w:h="16838"/>
          <w:pgMar w:top="1440" w:right="566" w:bottom="1440" w:left="1133" w:header="0" w:footer="0" w:gutter="0"/>
          <w:titlePg/>
        </w:sectPr>
      </w:pP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1133"/>
        <w:gridCol w:w="566"/>
        <w:gridCol w:w="849"/>
        <w:gridCol w:w="849"/>
        <w:gridCol w:w="849"/>
        <w:gridCol w:w="849"/>
        <w:gridCol w:w="849"/>
        <w:gridCol w:w="849"/>
        <w:gridCol w:w="849"/>
        <w:gridCol w:w="849"/>
        <w:gridCol w:w="849"/>
        <w:gridCol w:w="849"/>
        <w:gridCol w:w="849"/>
        <w:gridCol w:w="849"/>
        <w:gridCol w:w="849"/>
        <w:gridCol w:w="860"/>
      </w:tblGrid>
      <w:tr>
        <w:tblPrEx>
          <w:tblBorders>
            <w:left w:val="nil"/>
            <w:right w:val="nil"/>
          </w:tblBorders>
        </w:tblPrEx>
        <w:tc>
          <w:tcPr>
            <w:gridSpan w:val="16"/>
            <w:tcW w:w="13596" w:type="dxa"/>
            <w:tcBorders>
              <w:left w:val="nil"/>
              <w:right w:val="nil"/>
            </w:tcBorders>
          </w:tcPr>
          <w:p>
            <w:pPr>
              <w:pStyle w:val="0"/>
              <w:outlineLvl w:val="3"/>
              <w:ind w:left="283"/>
            </w:pPr>
            <w:r>
              <w:rPr>
                <w:sz w:val="24"/>
              </w:rPr>
              <w:t xml:space="preserve">Первичная медико-санитарная помощь. Амбулаторно. Посещения</w:t>
            </w:r>
          </w:p>
        </w:tc>
      </w:tr>
      <w:tr>
        <w:tc>
          <w:tcPr>
            <w:tcW w:w="1133" w:type="dxa"/>
          </w:tcPr>
          <w:p>
            <w:pPr>
              <w:pStyle w:val="0"/>
              <w:jc w:val="center"/>
            </w:pPr>
            <w:r>
              <w:rPr>
                <w:sz w:val="24"/>
              </w:rPr>
              <w:t xml:space="preserve">Год</w:t>
            </w:r>
          </w:p>
        </w:tc>
        <w:tc>
          <w:tcPr>
            <w:tcW w:w="566" w:type="dxa"/>
          </w:tcPr>
          <w:p>
            <w:pPr>
              <w:pStyle w:val="0"/>
              <w:jc w:val="center"/>
            </w:pPr>
            <w:r>
              <w:rPr>
                <w:sz w:val="24"/>
              </w:rPr>
              <w:t xml:space="preserve">N пп</w:t>
            </w:r>
          </w:p>
        </w:tc>
        <w:tc>
          <w:tcPr>
            <w:tcW w:w="849" w:type="dxa"/>
          </w:tcPr>
          <w:p>
            <w:pPr>
              <w:pStyle w:val="0"/>
              <w:jc w:val="center"/>
            </w:pPr>
            <w:r>
              <w:rPr>
                <w:sz w:val="24"/>
              </w:rPr>
              <w:t xml:space="preserve">Код профиля медицинской помощи</w:t>
            </w:r>
          </w:p>
        </w:tc>
        <w:tc>
          <w:tcPr>
            <w:tcW w:w="849" w:type="dxa"/>
          </w:tcPr>
          <w:p>
            <w:pPr>
              <w:pStyle w:val="0"/>
              <w:jc w:val="center"/>
            </w:pPr>
            <w:r>
              <w:rPr>
                <w:sz w:val="24"/>
              </w:rPr>
              <w:t xml:space="preserve">Наименование профиля медицинской помощи</w:t>
            </w:r>
          </w:p>
        </w:tc>
        <w:tc>
          <w:tcPr>
            <w:tcW w:w="849" w:type="dxa"/>
          </w:tcPr>
          <w:p>
            <w:pPr>
              <w:pStyle w:val="0"/>
              <w:jc w:val="center"/>
            </w:pPr>
            <w:r>
              <w:rPr>
                <w:sz w:val="24"/>
              </w:rPr>
              <w:t xml:space="preserve">Код должности врача специалиста</w:t>
            </w:r>
          </w:p>
        </w:tc>
        <w:tc>
          <w:tcPr>
            <w:tcW w:w="849" w:type="dxa"/>
          </w:tcPr>
          <w:p>
            <w:pPr>
              <w:pStyle w:val="0"/>
              <w:jc w:val="center"/>
            </w:pPr>
            <w:r>
              <w:rPr>
                <w:sz w:val="24"/>
              </w:rPr>
              <w:t xml:space="preserve">Наименование врача специалиста</w:t>
            </w:r>
          </w:p>
        </w:tc>
        <w:tc>
          <w:tcPr>
            <w:tcW w:w="849" w:type="dxa"/>
          </w:tcPr>
          <w:p>
            <w:pPr>
              <w:pStyle w:val="0"/>
              <w:jc w:val="center"/>
            </w:pPr>
            <w:r>
              <w:rPr>
                <w:sz w:val="24"/>
              </w:rPr>
              <w:t xml:space="preserve">Посещений, всего</w:t>
            </w:r>
          </w:p>
        </w:tc>
        <w:tc>
          <w:tcPr>
            <w:tcW w:w="849" w:type="dxa"/>
          </w:tcPr>
          <w:p>
            <w:pPr>
              <w:pStyle w:val="0"/>
              <w:jc w:val="center"/>
            </w:pPr>
            <w:r>
              <w:rPr>
                <w:sz w:val="24"/>
              </w:rPr>
              <w:t xml:space="preserve">Посещений по паллиативной помощи, всего</w:t>
            </w:r>
          </w:p>
        </w:tc>
        <w:tc>
          <w:tcPr>
            <w:tcW w:w="849" w:type="dxa"/>
          </w:tcPr>
          <w:p>
            <w:pPr>
              <w:pStyle w:val="0"/>
              <w:jc w:val="center"/>
            </w:pPr>
            <w:r>
              <w:rPr>
                <w:sz w:val="24"/>
              </w:rPr>
              <w:t xml:space="preserve">Посещений на дому патронажными бригадами</w:t>
            </w:r>
          </w:p>
        </w:tc>
        <w:tc>
          <w:tcPr>
            <w:tcW w:w="849" w:type="dxa"/>
          </w:tcPr>
          <w:p>
            <w:pPr>
              <w:pStyle w:val="0"/>
              <w:jc w:val="center"/>
            </w:pPr>
            <w:r>
              <w:rPr>
                <w:sz w:val="24"/>
              </w:rPr>
              <w:t xml:space="preserve">Посещения по паллиативной медицинской помощи без учета посещений на дому патронажными бригадами</w:t>
            </w:r>
          </w:p>
        </w:tc>
        <w:tc>
          <w:tcPr>
            <w:tcW w:w="849" w:type="dxa"/>
          </w:tcPr>
          <w:p>
            <w:pPr>
              <w:pStyle w:val="0"/>
              <w:jc w:val="center"/>
            </w:pPr>
            <w:r>
              <w:rPr>
                <w:sz w:val="24"/>
              </w:rPr>
              <w:t xml:space="preserve">Посещения с иными целями</w:t>
            </w:r>
          </w:p>
        </w:tc>
        <w:tc>
          <w:tcPr>
            <w:tcW w:w="849" w:type="dxa"/>
          </w:tcPr>
          <w:p>
            <w:pPr>
              <w:pStyle w:val="0"/>
              <w:jc w:val="center"/>
            </w:pPr>
            <w:r>
              <w:rPr>
                <w:sz w:val="24"/>
              </w:rPr>
              <w:t xml:space="preserve">Посещения по неотложной помощи</w:t>
            </w:r>
          </w:p>
        </w:tc>
        <w:tc>
          <w:tcPr>
            <w:tcW w:w="849" w:type="dxa"/>
          </w:tcPr>
          <w:p>
            <w:pPr>
              <w:pStyle w:val="0"/>
              <w:jc w:val="center"/>
            </w:pPr>
            <w:r>
              <w:rPr>
                <w:sz w:val="24"/>
              </w:rPr>
              <w:t xml:space="preserve">Гемодиализ</w:t>
            </w:r>
          </w:p>
        </w:tc>
        <w:tc>
          <w:tcPr>
            <w:tcW w:w="849" w:type="dxa"/>
          </w:tcPr>
          <w:p>
            <w:pPr>
              <w:pStyle w:val="0"/>
              <w:jc w:val="center"/>
            </w:pPr>
            <w:r>
              <w:rPr>
                <w:sz w:val="24"/>
              </w:rPr>
              <w:t xml:space="preserve">Количество иных целей</w:t>
            </w:r>
          </w:p>
        </w:tc>
        <w:tc>
          <w:tcPr>
            <w:tcW w:w="849" w:type="dxa"/>
          </w:tcPr>
          <w:p>
            <w:pPr>
              <w:pStyle w:val="0"/>
              <w:jc w:val="center"/>
            </w:pPr>
            <w:r>
              <w:rPr>
                <w:sz w:val="24"/>
              </w:rPr>
              <w:t xml:space="preserve">Обращения</w:t>
            </w:r>
          </w:p>
        </w:tc>
        <w:tc>
          <w:tcPr>
            <w:tcW w:w="860" w:type="dxa"/>
          </w:tcPr>
          <w:p>
            <w:pPr>
              <w:pStyle w:val="0"/>
              <w:jc w:val="center"/>
            </w:pPr>
            <w:r>
              <w:rPr>
                <w:sz w:val="24"/>
              </w:rPr>
              <w:t xml:space="preserve">Объем финансового обеспечения медицинской помощи (руб.)</w:t>
            </w:r>
          </w:p>
        </w:tc>
      </w:tr>
      <w:tr>
        <w:tc>
          <w:tcPr>
            <w:tcW w:w="1133" w:type="dxa"/>
            <w:vAlign w:val="center"/>
            <w:vMerge w:val="restart"/>
          </w:tcPr>
          <w:p>
            <w:pPr>
              <w:pStyle w:val="0"/>
              <w:jc w:val="center"/>
            </w:pPr>
            <w:r>
              <w:rPr>
                <w:sz w:val="24"/>
              </w:rPr>
              <w:t xml:space="preserve">Год участия - 3</w:t>
            </w:r>
          </w:p>
        </w:tc>
        <w:tc>
          <w:tcPr>
            <w:tcW w:w="566" w:type="dxa"/>
          </w:tcPr>
          <w:p>
            <w:pPr>
              <w:pStyle w:val="0"/>
            </w:pPr>
            <w:r>
              <w:rPr>
                <w:sz w:val="24"/>
              </w:rPr>
            </w:r>
          </w:p>
        </w:tc>
        <w:tc>
          <w:tcPr>
            <w:tcW w:w="849" w:type="dxa"/>
          </w:tcPr>
          <w:p>
            <w:pPr>
              <w:pStyle w:val="0"/>
            </w:pPr>
            <w:r>
              <w:rPr>
                <w:sz w:val="24"/>
              </w:rPr>
            </w:r>
          </w:p>
        </w:tc>
        <w:tc>
          <w:tcPr>
            <w:tcW w:w="849" w:type="dxa"/>
          </w:tcPr>
          <w:p>
            <w:pPr>
              <w:pStyle w:val="0"/>
            </w:pPr>
            <w:r>
              <w:rPr>
                <w:sz w:val="24"/>
              </w:rPr>
            </w:r>
          </w:p>
        </w:tc>
        <w:tc>
          <w:tcPr>
            <w:tcW w:w="849" w:type="dxa"/>
          </w:tcPr>
          <w:p>
            <w:pPr>
              <w:pStyle w:val="0"/>
            </w:pPr>
            <w:r>
              <w:rPr>
                <w:sz w:val="24"/>
              </w:rPr>
            </w:r>
          </w:p>
        </w:tc>
        <w:tc>
          <w:tcPr>
            <w:tcW w:w="849" w:type="dxa"/>
          </w:tcPr>
          <w:p>
            <w:pPr>
              <w:pStyle w:val="0"/>
            </w:pPr>
            <w:r>
              <w:rPr>
                <w:sz w:val="24"/>
              </w:rPr>
            </w:r>
          </w:p>
        </w:tc>
        <w:tc>
          <w:tcPr>
            <w:tcW w:w="849" w:type="dxa"/>
          </w:tcPr>
          <w:p>
            <w:pPr>
              <w:pStyle w:val="0"/>
            </w:pPr>
            <w:r>
              <w:rPr>
                <w:sz w:val="24"/>
              </w:rPr>
            </w:r>
          </w:p>
        </w:tc>
        <w:tc>
          <w:tcPr>
            <w:tcW w:w="849" w:type="dxa"/>
          </w:tcPr>
          <w:p>
            <w:pPr>
              <w:pStyle w:val="0"/>
            </w:pPr>
            <w:r>
              <w:rPr>
                <w:sz w:val="24"/>
              </w:rPr>
            </w:r>
          </w:p>
        </w:tc>
        <w:tc>
          <w:tcPr>
            <w:tcW w:w="849" w:type="dxa"/>
          </w:tcPr>
          <w:p>
            <w:pPr>
              <w:pStyle w:val="0"/>
            </w:pPr>
            <w:r>
              <w:rPr>
                <w:sz w:val="24"/>
              </w:rPr>
            </w:r>
          </w:p>
        </w:tc>
        <w:tc>
          <w:tcPr>
            <w:tcW w:w="849" w:type="dxa"/>
          </w:tcPr>
          <w:p>
            <w:pPr>
              <w:pStyle w:val="0"/>
            </w:pPr>
            <w:r>
              <w:rPr>
                <w:sz w:val="24"/>
              </w:rPr>
            </w:r>
          </w:p>
        </w:tc>
        <w:tc>
          <w:tcPr>
            <w:tcW w:w="849" w:type="dxa"/>
          </w:tcPr>
          <w:p>
            <w:pPr>
              <w:pStyle w:val="0"/>
            </w:pPr>
            <w:r>
              <w:rPr>
                <w:sz w:val="24"/>
              </w:rPr>
            </w:r>
          </w:p>
        </w:tc>
        <w:tc>
          <w:tcPr>
            <w:tcW w:w="849" w:type="dxa"/>
          </w:tcPr>
          <w:p>
            <w:pPr>
              <w:pStyle w:val="0"/>
            </w:pPr>
            <w:r>
              <w:rPr>
                <w:sz w:val="24"/>
              </w:rPr>
            </w:r>
          </w:p>
        </w:tc>
        <w:tc>
          <w:tcPr>
            <w:tcW w:w="849" w:type="dxa"/>
          </w:tcPr>
          <w:p>
            <w:pPr>
              <w:pStyle w:val="0"/>
            </w:pPr>
            <w:r>
              <w:rPr>
                <w:sz w:val="24"/>
              </w:rPr>
            </w:r>
          </w:p>
        </w:tc>
        <w:tc>
          <w:tcPr>
            <w:tcW w:w="849" w:type="dxa"/>
          </w:tcPr>
          <w:p>
            <w:pPr>
              <w:pStyle w:val="0"/>
            </w:pPr>
            <w:r>
              <w:rPr>
                <w:sz w:val="24"/>
              </w:rPr>
            </w:r>
          </w:p>
        </w:tc>
        <w:tc>
          <w:tcPr>
            <w:tcW w:w="849" w:type="dxa"/>
          </w:tcPr>
          <w:p>
            <w:pPr>
              <w:pStyle w:val="0"/>
            </w:pPr>
            <w:r>
              <w:rPr>
                <w:sz w:val="24"/>
              </w:rPr>
            </w:r>
          </w:p>
        </w:tc>
        <w:tc>
          <w:tcPr>
            <w:tcW w:w="860" w:type="dxa"/>
          </w:tcPr>
          <w:p>
            <w:pPr>
              <w:pStyle w:val="0"/>
            </w:pPr>
            <w:r>
              <w:rPr>
                <w:sz w:val="24"/>
              </w:rPr>
            </w:r>
          </w:p>
        </w:tc>
      </w:tr>
      <w:tr>
        <w:tc>
          <w:tcPr>
            <w:vMerge w:val="continue"/>
          </w:tcPr>
          <w:p/>
        </w:tc>
        <w:tc>
          <w:tcPr>
            <w:tcW w:w="566" w:type="dxa"/>
          </w:tcPr>
          <w:p>
            <w:pPr>
              <w:pStyle w:val="0"/>
            </w:pPr>
            <w:r>
              <w:rPr>
                <w:sz w:val="24"/>
              </w:rPr>
            </w:r>
          </w:p>
        </w:tc>
        <w:tc>
          <w:tcPr>
            <w:tcW w:w="849" w:type="dxa"/>
          </w:tcPr>
          <w:p>
            <w:pPr>
              <w:pStyle w:val="0"/>
            </w:pPr>
            <w:r>
              <w:rPr>
                <w:sz w:val="24"/>
              </w:rPr>
            </w:r>
          </w:p>
        </w:tc>
        <w:tc>
          <w:tcPr>
            <w:tcW w:w="849" w:type="dxa"/>
          </w:tcPr>
          <w:p>
            <w:pPr>
              <w:pStyle w:val="0"/>
            </w:pPr>
            <w:r>
              <w:rPr>
                <w:sz w:val="24"/>
              </w:rPr>
            </w:r>
          </w:p>
        </w:tc>
        <w:tc>
          <w:tcPr>
            <w:tcW w:w="849" w:type="dxa"/>
          </w:tcPr>
          <w:p>
            <w:pPr>
              <w:pStyle w:val="0"/>
            </w:pPr>
            <w:r>
              <w:rPr>
                <w:sz w:val="24"/>
              </w:rPr>
            </w:r>
          </w:p>
        </w:tc>
        <w:tc>
          <w:tcPr>
            <w:tcW w:w="849" w:type="dxa"/>
          </w:tcPr>
          <w:p>
            <w:pPr>
              <w:pStyle w:val="0"/>
            </w:pPr>
            <w:r>
              <w:rPr>
                <w:sz w:val="24"/>
              </w:rPr>
            </w:r>
          </w:p>
        </w:tc>
        <w:tc>
          <w:tcPr>
            <w:tcW w:w="849" w:type="dxa"/>
          </w:tcPr>
          <w:p>
            <w:pPr>
              <w:pStyle w:val="0"/>
            </w:pPr>
            <w:r>
              <w:rPr>
                <w:sz w:val="24"/>
              </w:rPr>
            </w:r>
          </w:p>
        </w:tc>
        <w:tc>
          <w:tcPr>
            <w:tcW w:w="849" w:type="dxa"/>
          </w:tcPr>
          <w:p>
            <w:pPr>
              <w:pStyle w:val="0"/>
            </w:pPr>
            <w:r>
              <w:rPr>
                <w:sz w:val="24"/>
              </w:rPr>
            </w:r>
          </w:p>
        </w:tc>
        <w:tc>
          <w:tcPr>
            <w:tcW w:w="849" w:type="dxa"/>
          </w:tcPr>
          <w:p>
            <w:pPr>
              <w:pStyle w:val="0"/>
            </w:pPr>
            <w:r>
              <w:rPr>
                <w:sz w:val="24"/>
              </w:rPr>
            </w:r>
          </w:p>
        </w:tc>
        <w:tc>
          <w:tcPr>
            <w:tcW w:w="849" w:type="dxa"/>
          </w:tcPr>
          <w:p>
            <w:pPr>
              <w:pStyle w:val="0"/>
            </w:pPr>
            <w:r>
              <w:rPr>
                <w:sz w:val="24"/>
              </w:rPr>
            </w:r>
          </w:p>
        </w:tc>
        <w:tc>
          <w:tcPr>
            <w:tcW w:w="849" w:type="dxa"/>
          </w:tcPr>
          <w:p>
            <w:pPr>
              <w:pStyle w:val="0"/>
            </w:pPr>
            <w:r>
              <w:rPr>
                <w:sz w:val="24"/>
              </w:rPr>
            </w:r>
          </w:p>
        </w:tc>
        <w:tc>
          <w:tcPr>
            <w:tcW w:w="849" w:type="dxa"/>
          </w:tcPr>
          <w:p>
            <w:pPr>
              <w:pStyle w:val="0"/>
            </w:pPr>
            <w:r>
              <w:rPr>
                <w:sz w:val="24"/>
              </w:rPr>
            </w:r>
          </w:p>
        </w:tc>
        <w:tc>
          <w:tcPr>
            <w:tcW w:w="849" w:type="dxa"/>
          </w:tcPr>
          <w:p>
            <w:pPr>
              <w:pStyle w:val="0"/>
            </w:pPr>
            <w:r>
              <w:rPr>
                <w:sz w:val="24"/>
              </w:rPr>
            </w:r>
          </w:p>
        </w:tc>
        <w:tc>
          <w:tcPr>
            <w:tcW w:w="849" w:type="dxa"/>
          </w:tcPr>
          <w:p>
            <w:pPr>
              <w:pStyle w:val="0"/>
            </w:pPr>
            <w:r>
              <w:rPr>
                <w:sz w:val="24"/>
              </w:rPr>
            </w:r>
          </w:p>
        </w:tc>
        <w:tc>
          <w:tcPr>
            <w:tcW w:w="849" w:type="dxa"/>
          </w:tcPr>
          <w:p>
            <w:pPr>
              <w:pStyle w:val="0"/>
            </w:pPr>
            <w:r>
              <w:rPr>
                <w:sz w:val="24"/>
              </w:rPr>
            </w:r>
          </w:p>
        </w:tc>
        <w:tc>
          <w:tcPr>
            <w:tcW w:w="860" w:type="dxa"/>
          </w:tcPr>
          <w:p>
            <w:pPr>
              <w:pStyle w:val="0"/>
            </w:pPr>
            <w:r>
              <w:rPr>
                <w:sz w:val="24"/>
              </w:rPr>
            </w:r>
          </w:p>
        </w:tc>
      </w:tr>
      <w:tr>
        <w:tc>
          <w:tcPr>
            <w:tcW w:w="1133" w:type="dxa"/>
            <w:vAlign w:val="center"/>
            <w:vMerge w:val="restart"/>
          </w:tcPr>
          <w:p>
            <w:pPr>
              <w:pStyle w:val="0"/>
              <w:jc w:val="center"/>
            </w:pPr>
            <w:r>
              <w:rPr>
                <w:sz w:val="24"/>
              </w:rPr>
              <w:t xml:space="preserve">Год участия - 2</w:t>
            </w:r>
          </w:p>
        </w:tc>
        <w:tc>
          <w:tcPr>
            <w:tcW w:w="566" w:type="dxa"/>
          </w:tcPr>
          <w:p>
            <w:pPr>
              <w:pStyle w:val="0"/>
            </w:pPr>
            <w:r>
              <w:rPr>
                <w:sz w:val="24"/>
              </w:rPr>
            </w:r>
          </w:p>
        </w:tc>
        <w:tc>
          <w:tcPr>
            <w:tcW w:w="849" w:type="dxa"/>
          </w:tcPr>
          <w:p>
            <w:pPr>
              <w:pStyle w:val="0"/>
            </w:pPr>
            <w:r>
              <w:rPr>
                <w:sz w:val="24"/>
              </w:rPr>
            </w:r>
          </w:p>
        </w:tc>
        <w:tc>
          <w:tcPr>
            <w:tcW w:w="849" w:type="dxa"/>
          </w:tcPr>
          <w:p>
            <w:pPr>
              <w:pStyle w:val="0"/>
            </w:pPr>
            <w:r>
              <w:rPr>
                <w:sz w:val="24"/>
              </w:rPr>
            </w:r>
          </w:p>
        </w:tc>
        <w:tc>
          <w:tcPr>
            <w:tcW w:w="849" w:type="dxa"/>
          </w:tcPr>
          <w:p>
            <w:pPr>
              <w:pStyle w:val="0"/>
            </w:pPr>
            <w:r>
              <w:rPr>
                <w:sz w:val="24"/>
              </w:rPr>
            </w:r>
          </w:p>
        </w:tc>
        <w:tc>
          <w:tcPr>
            <w:tcW w:w="849" w:type="dxa"/>
          </w:tcPr>
          <w:p>
            <w:pPr>
              <w:pStyle w:val="0"/>
            </w:pPr>
            <w:r>
              <w:rPr>
                <w:sz w:val="24"/>
              </w:rPr>
            </w:r>
          </w:p>
        </w:tc>
        <w:tc>
          <w:tcPr>
            <w:tcW w:w="849" w:type="dxa"/>
          </w:tcPr>
          <w:p>
            <w:pPr>
              <w:pStyle w:val="0"/>
            </w:pPr>
            <w:r>
              <w:rPr>
                <w:sz w:val="24"/>
              </w:rPr>
            </w:r>
          </w:p>
        </w:tc>
        <w:tc>
          <w:tcPr>
            <w:tcW w:w="849" w:type="dxa"/>
          </w:tcPr>
          <w:p>
            <w:pPr>
              <w:pStyle w:val="0"/>
            </w:pPr>
            <w:r>
              <w:rPr>
                <w:sz w:val="24"/>
              </w:rPr>
            </w:r>
          </w:p>
        </w:tc>
        <w:tc>
          <w:tcPr>
            <w:tcW w:w="849" w:type="dxa"/>
          </w:tcPr>
          <w:p>
            <w:pPr>
              <w:pStyle w:val="0"/>
            </w:pPr>
            <w:r>
              <w:rPr>
                <w:sz w:val="24"/>
              </w:rPr>
            </w:r>
          </w:p>
        </w:tc>
        <w:tc>
          <w:tcPr>
            <w:tcW w:w="849" w:type="dxa"/>
          </w:tcPr>
          <w:p>
            <w:pPr>
              <w:pStyle w:val="0"/>
            </w:pPr>
            <w:r>
              <w:rPr>
                <w:sz w:val="24"/>
              </w:rPr>
            </w:r>
          </w:p>
        </w:tc>
        <w:tc>
          <w:tcPr>
            <w:tcW w:w="849" w:type="dxa"/>
          </w:tcPr>
          <w:p>
            <w:pPr>
              <w:pStyle w:val="0"/>
            </w:pPr>
            <w:r>
              <w:rPr>
                <w:sz w:val="24"/>
              </w:rPr>
            </w:r>
          </w:p>
        </w:tc>
        <w:tc>
          <w:tcPr>
            <w:tcW w:w="849" w:type="dxa"/>
          </w:tcPr>
          <w:p>
            <w:pPr>
              <w:pStyle w:val="0"/>
            </w:pPr>
            <w:r>
              <w:rPr>
                <w:sz w:val="24"/>
              </w:rPr>
            </w:r>
          </w:p>
        </w:tc>
        <w:tc>
          <w:tcPr>
            <w:tcW w:w="849" w:type="dxa"/>
          </w:tcPr>
          <w:p>
            <w:pPr>
              <w:pStyle w:val="0"/>
            </w:pPr>
            <w:r>
              <w:rPr>
                <w:sz w:val="24"/>
              </w:rPr>
            </w:r>
          </w:p>
        </w:tc>
        <w:tc>
          <w:tcPr>
            <w:tcW w:w="849" w:type="dxa"/>
          </w:tcPr>
          <w:p>
            <w:pPr>
              <w:pStyle w:val="0"/>
            </w:pPr>
            <w:r>
              <w:rPr>
                <w:sz w:val="24"/>
              </w:rPr>
            </w:r>
          </w:p>
        </w:tc>
        <w:tc>
          <w:tcPr>
            <w:tcW w:w="849" w:type="dxa"/>
          </w:tcPr>
          <w:p>
            <w:pPr>
              <w:pStyle w:val="0"/>
            </w:pPr>
            <w:r>
              <w:rPr>
                <w:sz w:val="24"/>
              </w:rPr>
            </w:r>
          </w:p>
        </w:tc>
        <w:tc>
          <w:tcPr>
            <w:tcW w:w="860" w:type="dxa"/>
          </w:tcPr>
          <w:p>
            <w:pPr>
              <w:pStyle w:val="0"/>
            </w:pPr>
            <w:r>
              <w:rPr>
                <w:sz w:val="24"/>
              </w:rPr>
            </w:r>
          </w:p>
        </w:tc>
      </w:tr>
      <w:tr>
        <w:tc>
          <w:tcPr>
            <w:vMerge w:val="continue"/>
          </w:tcPr>
          <w:p/>
        </w:tc>
        <w:tc>
          <w:tcPr>
            <w:tcW w:w="566" w:type="dxa"/>
          </w:tcPr>
          <w:p>
            <w:pPr>
              <w:pStyle w:val="0"/>
            </w:pPr>
            <w:r>
              <w:rPr>
                <w:sz w:val="24"/>
              </w:rPr>
            </w:r>
          </w:p>
        </w:tc>
        <w:tc>
          <w:tcPr>
            <w:tcW w:w="849" w:type="dxa"/>
          </w:tcPr>
          <w:p>
            <w:pPr>
              <w:pStyle w:val="0"/>
            </w:pPr>
            <w:r>
              <w:rPr>
                <w:sz w:val="24"/>
              </w:rPr>
            </w:r>
          </w:p>
        </w:tc>
        <w:tc>
          <w:tcPr>
            <w:tcW w:w="849" w:type="dxa"/>
          </w:tcPr>
          <w:p>
            <w:pPr>
              <w:pStyle w:val="0"/>
            </w:pPr>
            <w:r>
              <w:rPr>
                <w:sz w:val="24"/>
              </w:rPr>
            </w:r>
          </w:p>
        </w:tc>
        <w:tc>
          <w:tcPr>
            <w:tcW w:w="849" w:type="dxa"/>
          </w:tcPr>
          <w:p>
            <w:pPr>
              <w:pStyle w:val="0"/>
            </w:pPr>
            <w:r>
              <w:rPr>
                <w:sz w:val="24"/>
              </w:rPr>
            </w:r>
          </w:p>
        </w:tc>
        <w:tc>
          <w:tcPr>
            <w:tcW w:w="849" w:type="dxa"/>
          </w:tcPr>
          <w:p>
            <w:pPr>
              <w:pStyle w:val="0"/>
            </w:pPr>
            <w:r>
              <w:rPr>
                <w:sz w:val="24"/>
              </w:rPr>
            </w:r>
          </w:p>
        </w:tc>
        <w:tc>
          <w:tcPr>
            <w:tcW w:w="849" w:type="dxa"/>
          </w:tcPr>
          <w:p>
            <w:pPr>
              <w:pStyle w:val="0"/>
            </w:pPr>
            <w:r>
              <w:rPr>
                <w:sz w:val="24"/>
              </w:rPr>
            </w:r>
          </w:p>
        </w:tc>
        <w:tc>
          <w:tcPr>
            <w:tcW w:w="849" w:type="dxa"/>
          </w:tcPr>
          <w:p>
            <w:pPr>
              <w:pStyle w:val="0"/>
            </w:pPr>
            <w:r>
              <w:rPr>
                <w:sz w:val="24"/>
              </w:rPr>
            </w:r>
          </w:p>
        </w:tc>
        <w:tc>
          <w:tcPr>
            <w:tcW w:w="849" w:type="dxa"/>
          </w:tcPr>
          <w:p>
            <w:pPr>
              <w:pStyle w:val="0"/>
            </w:pPr>
            <w:r>
              <w:rPr>
                <w:sz w:val="24"/>
              </w:rPr>
            </w:r>
          </w:p>
        </w:tc>
        <w:tc>
          <w:tcPr>
            <w:tcW w:w="849" w:type="dxa"/>
          </w:tcPr>
          <w:p>
            <w:pPr>
              <w:pStyle w:val="0"/>
            </w:pPr>
            <w:r>
              <w:rPr>
                <w:sz w:val="24"/>
              </w:rPr>
            </w:r>
          </w:p>
        </w:tc>
        <w:tc>
          <w:tcPr>
            <w:tcW w:w="849" w:type="dxa"/>
          </w:tcPr>
          <w:p>
            <w:pPr>
              <w:pStyle w:val="0"/>
            </w:pPr>
            <w:r>
              <w:rPr>
                <w:sz w:val="24"/>
              </w:rPr>
            </w:r>
          </w:p>
        </w:tc>
        <w:tc>
          <w:tcPr>
            <w:tcW w:w="849" w:type="dxa"/>
          </w:tcPr>
          <w:p>
            <w:pPr>
              <w:pStyle w:val="0"/>
            </w:pPr>
            <w:r>
              <w:rPr>
                <w:sz w:val="24"/>
              </w:rPr>
            </w:r>
          </w:p>
        </w:tc>
        <w:tc>
          <w:tcPr>
            <w:tcW w:w="849" w:type="dxa"/>
          </w:tcPr>
          <w:p>
            <w:pPr>
              <w:pStyle w:val="0"/>
            </w:pPr>
            <w:r>
              <w:rPr>
                <w:sz w:val="24"/>
              </w:rPr>
            </w:r>
          </w:p>
        </w:tc>
        <w:tc>
          <w:tcPr>
            <w:tcW w:w="849" w:type="dxa"/>
          </w:tcPr>
          <w:p>
            <w:pPr>
              <w:pStyle w:val="0"/>
            </w:pPr>
            <w:r>
              <w:rPr>
                <w:sz w:val="24"/>
              </w:rPr>
            </w:r>
          </w:p>
        </w:tc>
        <w:tc>
          <w:tcPr>
            <w:tcW w:w="849" w:type="dxa"/>
          </w:tcPr>
          <w:p>
            <w:pPr>
              <w:pStyle w:val="0"/>
            </w:pPr>
            <w:r>
              <w:rPr>
                <w:sz w:val="24"/>
              </w:rPr>
            </w:r>
          </w:p>
        </w:tc>
        <w:tc>
          <w:tcPr>
            <w:tcW w:w="860" w:type="dxa"/>
          </w:tcPr>
          <w:p>
            <w:pPr>
              <w:pStyle w:val="0"/>
            </w:pPr>
            <w:r>
              <w:rPr>
                <w:sz w:val="24"/>
              </w:rPr>
            </w:r>
          </w:p>
        </w:tc>
      </w:tr>
      <w:tr>
        <w:tc>
          <w:tcPr>
            <w:tcW w:w="1133" w:type="dxa"/>
            <w:vAlign w:val="center"/>
            <w:vMerge w:val="restart"/>
          </w:tcPr>
          <w:p>
            <w:pPr>
              <w:pStyle w:val="0"/>
              <w:jc w:val="center"/>
            </w:pPr>
            <w:r>
              <w:rPr>
                <w:sz w:val="24"/>
              </w:rPr>
              <w:t xml:space="preserve">Год участия - 1</w:t>
            </w:r>
          </w:p>
        </w:tc>
        <w:tc>
          <w:tcPr>
            <w:tcW w:w="566" w:type="dxa"/>
          </w:tcPr>
          <w:p>
            <w:pPr>
              <w:pStyle w:val="0"/>
            </w:pPr>
            <w:r>
              <w:rPr>
                <w:sz w:val="24"/>
              </w:rPr>
            </w:r>
          </w:p>
        </w:tc>
        <w:tc>
          <w:tcPr>
            <w:tcW w:w="849" w:type="dxa"/>
          </w:tcPr>
          <w:p>
            <w:pPr>
              <w:pStyle w:val="0"/>
            </w:pPr>
            <w:r>
              <w:rPr>
                <w:sz w:val="24"/>
              </w:rPr>
            </w:r>
          </w:p>
        </w:tc>
        <w:tc>
          <w:tcPr>
            <w:tcW w:w="849" w:type="dxa"/>
          </w:tcPr>
          <w:p>
            <w:pPr>
              <w:pStyle w:val="0"/>
            </w:pPr>
            <w:r>
              <w:rPr>
                <w:sz w:val="24"/>
              </w:rPr>
            </w:r>
          </w:p>
        </w:tc>
        <w:tc>
          <w:tcPr>
            <w:tcW w:w="849" w:type="dxa"/>
          </w:tcPr>
          <w:p>
            <w:pPr>
              <w:pStyle w:val="0"/>
            </w:pPr>
            <w:r>
              <w:rPr>
                <w:sz w:val="24"/>
              </w:rPr>
            </w:r>
          </w:p>
        </w:tc>
        <w:tc>
          <w:tcPr>
            <w:tcW w:w="849" w:type="dxa"/>
          </w:tcPr>
          <w:p>
            <w:pPr>
              <w:pStyle w:val="0"/>
            </w:pPr>
            <w:r>
              <w:rPr>
                <w:sz w:val="24"/>
              </w:rPr>
            </w:r>
          </w:p>
        </w:tc>
        <w:tc>
          <w:tcPr>
            <w:tcW w:w="849" w:type="dxa"/>
          </w:tcPr>
          <w:p>
            <w:pPr>
              <w:pStyle w:val="0"/>
            </w:pPr>
            <w:r>
              <w:rPr>
                <w:sz w:val="24"/>
              </w:rPr>
            </w:r>
          </w:p>
        </w:tc>
        <w:tc>
          <w:tcPr>
            <w:tcW w:w="849" w:type="dxa"/>
          </w:tcPr>
          <w:p>
            <w:pPr>
              <w:pStyle w:val="0"/>
            </w:pPr>
            <w:r>
              <w:rPr>
                <w:sz w:val="24"/>
              </w:rPr>
            </w:r>
          </w:p>
        </w:tc>
        <w:tc>
          <w:tcPr>
            <w:tcW w:w="849" w:type="dxa"/>
          </w:tcPr>
          <w:p>
            <w:pPr>
              <w:pStyle w:val="0"/>
            </w:pPr>
            <w:r>
              <w:rPr>
                <w:sz w:val="24"/>
              </w:rPr>
            </w:r>
          </w:p>
        </w:tc>
        <w:tc>
          <w:tcPr>
            <w:tcW w:w="849" w:type="dxa"/>
          </w:tcPr>
          <w:p>
            <w:pPr>
              <w:pStyle w:val="0"/>
            </w:pPr>
            <w:r>
              <w:rPr>
                <w:sz w:val="24"/>
              </w:rPr>
            </w:r>
          </w:p>
        </w:tc>
        <w:tc>
          <w:tcPr>
            <w:tcW w:w="849" w:type="dxa"/>
          </w:tcPr>
          <w:p>
            <w:pPr>
              <w:pStyle w:val="0"/>
            </w:pPr>
            <w:r>
              <w:rPr>
                <w:sz w:val="24"/>
              </w:rPr>
            </w:r>
          </w:p>
        </w:tc>
        <w:tc>
          <w:tcPr>
            <w:tcW w:w="849" w:type="dxa"/>
          </w:tcPr>
          <w:p>
            <w:pPr>
              <w:pStyle w:val="0"/>
            </w:pPr>
            <w:r>
              <w:rPr>
                <w:sz w:val="24"/>
              </w:rPr>
            </w:r>
          </w:p>
        </w:tc>
        <w:tc>
          <w:tcPr>
            <w:tcW w:w="849" w:type="dxa"/>
          </w:tcPr>
          <w:p>
            <w:pPr>
              <w:pStyle w:val="0"/>
            </w:pPr>
            <w:r>
              <w:rPr>
                <w:sz w:val="24"/>
              </w:rPr>
            </w:r>
          </w:p>
        </w:tc>
        <w:tc>
          <w:tcPr>
            <w:tcW w:w="849" w:type="dxa"/>
          </w:tcPr>
          <w:p>
            <w:pPr>
              <w:pStyle w:val="0"/>
            </w:pPr>
            <w:r>
              <w:rPr>
                <w:sz w:val="24"/>
              </w:rPr>
            </w:r>
          </w:p>
        </w:tc>
        <w:tc>
          <w:tcPr>
            <w:tcW w:w="849" w:type="dxa"/>
          </w:tcPr>
          <w:p>
            <w:pPr>
              <w:pStyle w:val="0"/>
            </w:pPr>
            <w:r>
              <w:rPr>
                <w:sz w:val="24"/>
              </w:rPr>
            </w:r>
          </w:p>
        </w:tc>
        <w:tc>
          <w:tcPr>
            <w:tcW w:w="860" w:type="dxa"/>
          </w:tcPr>
          <w:p>
            <w:pPr>
              <w:pStyle w:val="0"/>
            </w:pPr>
            <w:r>
              <w:rPr>
                <w:sz w:val="24"/>
              </w:rPr>
            </w:r>
          </w:p>
        </w:tc>
      </w:tr>
      <w:tr>
        <w:tc>
          <w:tcPr>
            <w:vMerge w:val="continue"/>
          </w:tcPr>
          <w:p/>
        </w:tc>
        <w:tc>
          <w:tcPr>
            <w:tcW w:w="566" w:type="dxa"/>
          </w:tcPr>
          <w:p>
            <w:pPr>
              <w:pStyle w:val="0"/>
            </w:pPr>
            <w:r>
              <w:rPr>
                <w:sz w:val="24"/>
              </w:rPr>
            </w:r>
          </w:p>
        </w:tc>
        <w:tc>
          <w:tcPr>
            <w:tcW w:w="849" w:type="dxa"/>
          </w:tcPr>
          <w:p>
            <w:pPr>
              <w:pStyle w:val="0"/>
            </w:pPr>
            <w:r>
              <w:rPr>
                <w:sz w:val="24"/>
              </w:rPr>
            </w:r>
          </w:p>
        </w:tc>
        <w:tc>
          <w:tcPr>
            <w:tcW w:w="849" w:type="dxa"/>
          </w:tcPr>
          <w:p>
            <w:pPr>
              <w:pStyle w:val="0"/>
            </w:pPr>
            <w:r>
              <w:rPr>
                <w:sz w:val="24"/>
              </w:rPr>
            </w:r>
          </w:p>
        </w:tc>
        <w:tc>
          <w:tcPr>
            <w:tcW w:w="849" w:type="dxa"/>
          </w:tcPr>
          <w:p>
            <w:pPr>
              <w:pStyle w:val="0"/>
            </w:pPr>
            <w:r>
              <w:rPr>
                <w:sz w:val="24"/>
              </w:rPr>
            </w:r>
          </w:p>
        </w:tc>
        <w:tc>
          <w:tcPr>
            <w:tcW w:w="849" w:type="dxa"/>
          </w:tcPr>
          <w:p>
            <w:pPr>
              <w:pStyle w:val="0"/>
            </w:pPr>
            <w:r>
              <w:rPr>
                <w:sz w:val="24"/>
              </w:rPr>
            </w:r>
          </w:p>
        </w:tc>
        <w:tc>
          <w:tcPr>
            <w:tcW w:w="849" w:type="dxa"/>
          </w:tcPr>
          <w:p>
            <w:pPr>
              <w:pStyle w:val="0"/>
            </w:pPr>
            <w:r>
              <w:rPr>
                <w:sz w:val="24"/>
              </w:rPr>
            </w:r>
          </w:p>
        </w:tc>
        <w:tc>
          <w:tcPr>
            <w:tcW w:w="849" w:type="dxa"/>
          </w:tcPr>
          <w:p>
            <w:pPr>
              <w:pStyle w:val="0"/>
            </w:pPr>
            <w:r>
              <w:rPr>
                <w:sz w:val="24"/>
              </w:rPr>
            </w:r>
          </w:p>
        </w:tc>
        <w:tc>
          <w:tcPr>
            <w:tcW w:w="849" w:type="dxa"/>
          </w:tcPr>
          <w:p>
            <w:pPr>
              <w:pStyle w:val="0"/>
            </w:pPr>
            <w:r>
              <w:rPr>
                <w:sz w:val="24"/>
              </w:rPr>
            </w:r>
          </w:p>
        </w:tc>
        <w:tc>
          <w:tcPr>
            <w:tcW w:w="849" w:type="dxa"/>
          </w:tcPr>
          <w:p>
            <w:pPr>
              <w:pStyle w:val="0"/>
            </w:pPr>
            <w:r>
              <w:rPr>
                <w:sz w:val="24"/>
              </w:rPr>
            </w:r>
          </w:p>
        </w:tc>
        <w:tc>
          <w:tcPr>
            <w:tcW w:w="849" w:type="dxa"/>
          </w:tcPr>
          <w:p>
            <w:pPr>
              <w:pStyle w:val="0"/>
            </w:pPr>
            <w:r>
              <w:rPr>
                <w:sz w:val="24"/>
              </w:rPr>
            </w:r>
          </w:p>
        </w:tc>
        <w:tc>
          <w:tcPr>
            <w:tcW w:w="849" w:type="dxa"/>
          </w:tcPr>
          <w:p>
            <w:pPr>
              <w:pStyle w:val="0"/>
            </w:pPr>
            <w:r>
              <w:rPr>
                <w:sz w:val="24"/>
              </w:rPr>
            </w:r>
          </w:p>
        </w:tc>
        <w:tc>
          <w:tcPr>
            <w:tcW w:w="849" w:type="dxa"/>
          </w:tcPr>
          <w:p>
            <w:pPr>
              <w:pStyle w:val="0"/>
            </w:pPr>
            <w:r>
              <w:rPr>
                <w:sz w:val="24"/>
              </w:rPr>
            </w:r>
          </w:p>
        </w:tc>
        <w:tc>
          <w:tcPr>
            <w:tcW w:w="849" w:type="dxa"/>
          </w:tcPr>
          <w:p>
            <w:pPr>
              <w:pStyle w:val="0"/>
            </w:pPr>
            <w:r>
              <w:rPr>
                <w:sz w:val="24"/>
              </w:rPr>
            </w:r>
          </w:p>
        </w:tc>
        <w:tc>
          <w:tcPr>
            <w:tcW w:w="849" w:type="dxa"/>
          </w:tcPr>
          <w:p>
            <w:pPr>
              <w:pStyle w:val="0"/>
            </w:pPr>
            <w:r>
              <w:rPr>
                <w:sz w:val="24"/>
              </w:rPr>
            </w:r>
          </w:p>
        </w:tc>
        <w:tc>
          <w:tcPr>
            <w:tcW w:w="860" w:type="dxa"/>
          </w:tcPr>
          <w:p>
            <w:pPr>
              <w:pStyle w:val="0"/>
            </w:pPr>
            <w:r>
              <w:rPr>
                <w:sz w:val="24"/>
              </w:rPr>
            </w:r>
          </w:p>
        </w:tc>
      </w:tr>
      <w:tr>
        <w:tc>
          <w:tcPr>
            <w:tcW w:w="1133" w:type="dxa"/>
          </w:tcPr>
          <w:p>
            <w:pPr>
              <w:pStyle w:val="0"/>
            </w:pPr>
            <w:r>
              <w:rPr>
                <w:sz w:val="24"/>
              </w:rPr>
            </w:r>
          </w:p>
        </w:tc>
        <w:tc>
          <w:tcPr>
            <w:tcW w:w="566" w:type="dxa"/>
          </w:tcPr>
          <w:p>
            <w:pPr>
              <w:pStyle w:val="0"/>
            </w:pPr>
            <w:r>
              <w:rPr>
                <w:sz w:val="24"/>
              </w:rPr>
            </w:r>
          </w:p>
        </w:tc>
        <w:tc>
          <w:tcPr>
            <w:tcW w:w="849" w:type="dxa"/>
          </w:tcPr>
          <w:p>
            <w:pPr>
              <w:pStyle w:val="0"/>
            </w:pPr>
            <w:r>
              <w:rPr>
                <w:sz w:val="24"/>
              </w:rPr>
            </w:r>
          </w:p>
        </w:tc>
        <w:tc>
          <w:tcPr>
            <w:tcW w:w="849" w:type="dxa"/>
          </w:tcPr>
          <w:p>
            <w:pPr>
              <w:pStyle w:val="0"/>
            </w:pPr>
            <w:r>
              <w:rPr>
                <w:sz w:val="24"/>
              </w:rPr>
            </w:r>
          </w:p>
        </w:tc>
        <w:tc>
          <w:tcPr>
            <w:tcW w:w="849" w:type="dxa"/>
          </w:tcPr>
          <w:p>
            <w:pPr>
              <w:pStyle w:val="0"/>
            </w:pPr>
            <w:r>
              <w:rPr>
                <w:sz w:val="24"/>
              </w:rPr>
            </w:r>
          </w:p>
        </w:tc>
        <w:tc>
          <w:tcPr>
            <w:tcW w:w="849" w:type="dxa"/>
          </w:tcPr>
          <w:p>
            <w:pPr>
              <w:pStyle w:val="0"/>
            </w:pPr>
            <w:r>
              <w:rPr>
                <w:sz w:val="24"/>
              </w:rPr>
            </w:r>
          </w:p>
        </w:tc>
        <w:tc>
          <w:tcPr>
            <w:tcW w:w="849" w:type="dxa"/>
          </w:tcPr>
          <w:p>
            <w:pPr>
              <w:pStyle w:val="0"/>
            </w:pPr>
            <w:r>
              <w:rPr>
                <w:sz w:val="24"/>
              </w:rPr>
            </w:r>
          </w:p>
        </w:tc>
        <w:tc>
          <w:tcPr>
            <w:tcW w:w="849" w:type="dxa"/>
          </w:tcPr>
          <w:p>
            <w:pPr>
              <w:pStyle w:val="0"/>
            </w:pPr>
            <w:r>
              <w:rPr>
                <w:sz w:val="24"/>
              </w:rPr>
            </w:r>
          </w:p>
        </w:tc>
        <w:tc>
          <w:tcPr>
            <w:tcW w:w="849" w:type="dxa"/>
          </w:tcPr>
          <w:p>
            <w:pPr>
              <w:pStyle w:val="0"/>
            </w:pPr>
            <w:r>
              <w:rPr>
                <w:sz w:val="24"/>
              </w:rPr>
            </w:r>
          </w:p>
        </w:tc>
        <w:tc>
          <w:tcPr>
            <w:tcW w:w="849" w:type="dxa"/>
          </w:tcPr>
          <w:p>
            <w:pPr>
              <w:pStyle w:val="0"/>
            </w:pPr>
            <w:r>
              <w:rPr>
                <w:sz w:val="24"/>
              </w:rPr>
            </w:r>
          </w:p>
        </w:tc>
        <w:tc>
          <w:tcPr>
            <w:tcW w:w="849" w:type="dxa"/>
          </w:tcPr>
          <w:p>
            <w:pPr>
              <w:pStyle w:val="0"/>
            </w:pPr>
            <w:r>
              <w:rPr>
                <w:sz w:val="24"/>
              </w:rPr>
            </w:r>
          </w:p>
        </w:tc>
        <w:tc>
          <w:tcPr>
            <w:tcW w:w="849" w:type="dxa"/>
          </w:tcPr>
          <w:p>
            <w:pPr>
              <w:pStyle w:val="0"/>
            </w:pPr>
            <w:r>
              <w:rPr>
                <w:sz w:val="24"/>
              </w:rPr>
            </w:r>
          </w:p>
        </w:tc>
        <w:tc>
          <w:tcPr>
            <w:tcW w:w="849" w:type="dxa"/>
          </w:tcPr>
          <w:p>
            <w:pPr>
              <w:pStyle w:val="0"/>
            </w:pPr>
            <w:r>
              <w:rPr>
                <w:sz w:val="24"/>
              </w:rPr>
            </w:r>
          </w:p>
        </w:tc>
        <w:tc>
          <w:tcPr>
            <w:tcW w:w="849" w:type="dxa"/>
          </w:tcPr>
          <w:p>
            <w:pPr>
              <w:pStyle w:val="0"/>
            </w:pPr>
            <w:r>
              <w:rPr>
                <w:sz w:val="24"/>
              </w:rPr>
            </w:r>
          </w:p>
        </w:tc>
        <w:tc>
          <w:tcPr>
            <w:tcW w:w="849" w:type="dxa"/>
          </w:tcPr>
          <w:p>
            <w:pPr>
              <w:pStyle w:val="0"/>
            </w:pPr>
            <w:r>
              <w:rPr>
                <w:sz w:val="24"/>
              </w:rPr>
            </w:r>
          </w:p>
        </w:tc>
        <w:tc>
          <w:tcPr>
            <w:tcW w:w="860" w:type="dxa"/>
          </w:tcPr>
          <w:p>
            <w:pPr>
              <w:pStyle w:val="0"/>
            </w:pPr>
            <w:r>
              <w:rPr>
                <w:sz w:val="24"/>
              </w:rPr>
            </w:r>
          </w:p>
        </w:tc>
      </w:tr>
    </w:tbl>
    <w:p>
      <w:pPr>
        <w:pStyle w:val="0"/>
        <w:jc w:val="both"/>
      </w:pPr>
      <w:r>
        <w:rPr>
          <w:sz w:val="24"/>
        </w:rPr>
      </w:r>
    </w:p>
    <w:tbl>
      <w:tblPr>
        <w:tblInd w:w="0" w:type="dxa"/>
        <w:tblLayout w:type="fixed"/>
        <w:tblBorders>
          <w:left w:val="single" w:sz="4"/>
          <w:bottom w:val="single" w:sz="4"/>
          <w:right w:val="single" w:sz="4"/>
          <w:insideV w:val="single" w:sz="4"/>
          <w:insideH w:val="single" w:sz="4"/>
        </w:tblBorders>
        <w:tblCellMar>
          <w:top w:w="102" w:type="dxa"/>
          <w:left w:w="62" w:type="dxa"/>
          <w:bottom w:w="102" w:type="dxa"/>
          <w:right w:w="62" w:type="dxa"/>
        </w:tblCellMar>
      </w:tblPr>
      <w:tblGrid>
        <w:gridCol w:w="964"/>
        <w:gridCol w:w="566"/>
        <w:gridCol w:w="862"/>
        <w:gridCol w:w="862"/>
        <w:gridCol w:w="862"/>
        <w:gridCol w:w="862"/>
        <w:gridCol w:w="862"/>
        <w:gridCol w:w="862"/>
        <w:gridCol w:w="862"/>
        <w:gridCol w:w="862"/>
        <w:gridCol w:w="862"/>
        <w:gridCol w:w="862"/>
        <w:gridCol w:w="862"/>
        <w:gridCol w:w="862"/>
        <w:gridCol w:w="862"/>
        <w:gridCol w:w="862"/>
      </w:tblGrid>
      <w:tr>
        <w:tblPrEx>
          <w:tblBorders>
            <w:left w:val="nil"/>
            <w:right w:val="nil"/>
          </w:tblBorders>
        </w:tblPrEx>
        <w:tc>
          <w:tcPr>
            <w:gridSpan w:val="16"/>
            <w:tcW w:w="13598" w:type="dxa"/>
            <w:tcBorders>
              <w:top w:val="nil"/>
              <w:left w:val="nil"/>
              <w:right w:val="nil"/>
            </w:tcBorders>
          </w:tcPr>
          <w:p>
            <w:pPr>
              <w:pStyle w:val="0"/>
              <w:outlineLvl w:val="3"/>
              <w:ind w:left="283"/>
            </w:pPr>
            <w:r>
              <w:rPr>
                <w:sz w:val="24"/>
              </w:rPr>
              <w:t xml:space="preserve">Первичная медико-санитарная помощь. Амбулаторно. Диагностические исследования</w:t>
            </w:r>
          </w:p>
        </w:tc>
      </w:tr>
      <w:tr>
        <w:tc>
          <w:tcPr>
            <w:tcW w:w="964" w:type="dxa"/>
          </w:tcPr>
          <w:p>
            <w:pPr>
              <w:pStyle w:val="0"/>
              <w:jc w:val="center"/>
            </w:pPr>
            <w:r>
              <w:rPr>
                <w:sz w:val="24"/>
              </w:rPr>
              <w:t xml:space="preserve">Год</w:t>
            </w:r>
          </w:p>
        </w:tc>
        <w:tc>
          <w:tcPr>
            <w:tcW w:w="566" w:type="dxa"/>
          </w:tcPr>
          <w:p>
            <w:pPr>
              <w:pStyle w:val="0"/>
              <w:jc w:val="center"/>
            </w:pPr>
            <w:r>
              <w:rPr>
                <w:sz w:val="24"/>
              </w:rPr>
              <w:t xml:space="preserve">N пп</w:t>
            </w:r>
          </w:p>
        </w:tc>
        <w:tc>
          <w:tcPr>
            <w:tcW w:w="862" w:type="dxa"/>
          </w:tcPr>
          <w:p>
            <w:pPr>
              <w:pStyle w:val="0"/>
              <w:jc w:val="center"/>
            </w:pPr>
            <w:r>
              <w:rPr>
                <w:sz w:val="24"/>
              </w:rPr>
              <w:t xml:space="preserve">Наименование</w:t>
            </w:r>
          </w:p>
        </w:tc>
        <w:tc>
          <w:tcPr>
            <w:tcW w:w="862" w:type="dxa"/>
          </w:tcPr>
          <w:p>
            <w:pPr>
              <w:pStyle w:val="0"/>
              <w:jc w:val="center"/>
            </w:pPr>
            <w:r>
              <w:rPr>
                <w:sz w:val="24"/>
              </w:rPr>
              <w:t xml:space="preserve">Количество</w:t>
            </w:r>
          </w:p>
        </w:tc>
        <w:tc>
          <w:tcPr>
            <w:tcW w:w="862" w:type="dxa"/>
          </w:tcPr>
          <w:p>
            <w:pPr>
              <w:pStyle w:val="0"/>
              <w:jc w:val="center"/>
            </w:pPr>
            <w:r>
              <w:rPr>
                <w:sz w:val="24"/>
              </w:rPr>
              <w:t xml:space="preserve">Компьютерная томография</w:t>
            </w:r>
          </w:p>
        </w:tc>
        <w:tc>
          <w:tcPr>
            <w:tcW w:w="862" w:type="dxa"/>
          </w:tcPr>
          <w:p>
            <w:pPr>
              <w:pStyle w:val="0"/>
              <w:jc w:val="center"/>
            </w:pPr>
            <w:r>
              <w:rPr>
                <w:sz w:val="24"/>
              </w:rPr>
              <w:t xml:space="preserve">Магнитно-резонансная томография</w:t>
            </w:r>
          </w:p>
        </w:tc>
        <w:tc>
          <w:tcPr>
            <w:tcW w:w="862" w:type="dxa"/>
          </w:tcPr>
          <w:p>
            <w:pPr>
              <w:pStyle w:val="0"/>
              <w:jc w:val="center"/>
            </w:pPr>
            <w:r>
              <w:rPr>
                <w:sz w:val="24"/>
              </w:rPr>
              <w:t xml:space="preserve">Ультразвуковое исследование сердечно-сосудистой системы</w:t>
            </w:r>
          </w:p>
        </w:tc>
        <w:tc>
          <w:tcPr>
            <w:tcW w:w="862" w:type="dxa"/>
          </w:tcPr>
          <w:p>
            <w:pPr>
              <w:pStyle w:val="0"/>
              <w:jc w:val="center"/>
            </w:pPr>
            <w:r>
              <w:rPr>
                <w:sz w:val="24"/>
              </w:rPr>
              <w:t xml:space="preserve">Эндоскопическое диагностическое исследование</w:t>
            </w:r>
          </w:p>
        </w:tc>
        <w:tc>
          <w:tcPr>
            <w:tcW w:w="862" w:type="dxa"/>
          </w:tcPr>
          <w:p>
            <w:pPr>
              <w:pStyle w:val="0"/>
              <w:jc w:val="center"/>
            </w:pPr>
            <w:r>
              <w:rPr>
                <w:sz w:val="24"/>
              </w:rPr>
              <w:t xml:space="preserve">Патолого-анатомическое исследование биопсийного (операционного) материала</w:t>
            </w:r>
          </w:p>
        </w:tc>
        <w:tc>
          <w:tcPr>
            <w:tcW w:w="862" w:type="dxa"/>
          </w:tcPr>
          <w:p>
            <w:pPr>
              <w:pStyle w:val="0"/>
              <w:jc w:val="center"/>
            </w:pPr>
            <w:r>
              <w:rPr>
                <w:sz w:val="24"/>
              </w:rPr>
              <w:t xml:space="preserve">Молекулярно-генетическое исследование</w:t>
            </w:r>
          </w:p>
        </w:tc>
        <w:tc>
          <w:tcPr>
            <w:tcW w:w="862" w:type="dxa"/>
          </w:tcPr>
          <w:p>
            <w:pPr>
              <w:pStyle w:val="0"/>
              <w:jc w:val="center"/>
            </w:pPr>
            <w:r>
              <w:rPr>
                <w:sz w:val="24"/>
              </w:rPr>
              <w:t xml:space="preserve">Сцинтиграфия</w:t>
            </w:r>
          </w:p>
        </w:tc>
        <w:tc>
          <w:tcPr>
            <w:tcW w:w="862" w:type="dxa"/>
          </w:tcPr>
          <w:p>
            <w:pPr>
              <w:pStyle w:val="0"/>
              <w:jc w:val="center"/>
            </w:pPr>
            <w:r>
              <w:rPr>
                <w:sz w:val="24"/>
              </w:rPr>
              <w:t xml:space="preserve">Диагностическая позитронно-эмиссионная томография</w:t>
            </w:r>
          </w:p>
        </w:tc>
        <w:tc>
          <w:tcPr>
            <w:tcW w:w="862" w:type="dxa"/>
          </w:tcPr>
          <w:p>
            <w:pPr>
              <w:pStyle w:val="0"/>
              <w:jc w:val="center"/>
            </w:pPr>
            <w:r>
              <w:rPr>
                <w:sz w:val="24"/>
              </w:rPr>
              <w:t xml:space="preserve">Тестирование на COVID-19</w:t>
            </w:r>
          </w:p>
        </w:tc>
        <w:tc>
          <w:tcPr>
            <w:tcW w:w="862" w:type="dxa"/>
          </w:tcPr>
          <w:p>
            <w:pPr>
              <w:pStyle w:val="0"/>
              <w:jc w:val="center"/>
            </w:pPr>
            <w:r>
              <w:rPr>
                <w:sz w:val="24"/>
              </w:rPr>
              <w:t xml:space="preserve">Скрининг онко-гинекологических заболеваний до 35 лет</w:t>
            </w:r>
          </w:p>
        </w:tc>
        <w:tc>
          <w:tcPr>
            <w:tcW w:w="862" w:type="dxa"/>
          </w:tcPr>
          <w:p>
            <w:pPr>
              <w:pStyle w:val="0"/>
              <w:jc w:val="center"/>
            </w:pPr>
            <w:r>
              <w:rPr>
                <w:sz w:val="24"/>
              </w:rPr>
              <w:t xml:space="preserve">Скрининг онко-гинекологических заболеваний с 35 лет</w:t>
            </w:r>
          </w:p>
        </w:tc>
        <w:tc>
          <w:tcPr>
            <w:tcW w:w="862" w:type="dxa"/>
          </w:tcPr>
          <w:p>
            <w:pPr>
              <w:pStyle w:val="0"/>
              <w:jc w:val="center"/>
            </w:pPr>
            <w:r>
              <w:rPr>
                <w:sz w:val="24"/>
              </w:rPr>
              <w:t xml:space="preserve">Объем финансового обеспечения медицинской помощи (руб.)</w:t>
            </w:r>
          </w:p>
        </w:tc>
      </w:tr>
      <w:tr>
        <w:tc>
          <w:tcPr>
            <w:tcW w:w="964" w:type="dxa"/>
            <w:vAlign w:val="center"/>
            <w:vMerge w:val="restart"/>
          </w:tcPr>
          <w:p>
            <w:pPr>
              <w:pStyle w:val="0"/>
              <w:jc w:val="center"/>
            </w:pPr>
            <w:r>
              <w:rPr>
                <w:sz w:val="24"/>
              </w:rPr>
              <w:t xml:space="preserve">Год участия - 3</w:t>
            </w:r>
          </w:p>
        </w:tc>
        <w:tc>
          <w:tcPr>
            <w:tcW w:w="566" w:type="dxa"/>
          </w:tcPr>
          <w:p>
            <w:pPr>
              <w:pStyle w:val="0"/>
            </w:pPr>
            <w:r>
              <w:rPr>
                <w:sz w:val="24"/>
              </w:rPr>
            </w:r>
          </w:p>
        </w:tc>
        <w:tc>
          <w:tcPr>
            <w:tcW w:w="862" w:type="dxa"/>
            <w:vAlign w:val="center"/>
          </w:tcPr>
          <w:p>
            <w:pPr>
              <w:pStyle w:val="0"/>
              <w:jc w:val="center"/>
            </w:pPr>
            <w:r>
              <w:rPr>
                <w:sz w:val="24"/>
              </w:rPr>
              <w:t xml:space="preserve">Всего</w:t>
            </w:r>
          </w:p>
        </w:tc>
        <w:tc>
          <w:tcPr>
            <w:tcW w:w="862" w:type="dxa"/>
          </w:tcPr>
          <w:p>
            <w:pPr>
              <w:pStyle w:val="0"/>
            </w:pPr>
            <w:r>
              <w:rPr>
                <w:sz w:val="24"/>
              </w:rPr>
            </w:r>
          </w:p>
        </w:tc>
        <w:tc>
          <w:tcPr>
            <w:tcW w:w="862" w:type="dxa"/>
          </w:tcPr>
          <w:p>
            <w:pPr>
              <w:pStyle w:val="0"/>
            </w:pPr>
            <w:r>
              <w:rPr>
                <w:sz w:val="24"/>
              </w:rPr>
            </w:r>
          </w:p>
        </w:tc>
        <w:tc>
          <w:tcPr>
            <w:tcW w:w="862" w:type="dxa"/>
          </w:tcPr>
          <w:p>
            <w:pPr>
              <w:pStyle w:val="0"/>
            </w:pPr>
            <w:r>
              <w:rPr>
                <w:sz w:val="24"/>
              </w:rPr>
            </w:r>
          </w:p>
        </w:tc>
        <w:tc>
          <w:tcPr>
            <w:tcW w:w="862" w:type="dxa"/>
          </w:tcPr>
          <w:p>
            <w:pPr>
              <w:pStyle w:val="0"/>
            </w:pPr>
            <w:r>
              <w:rPr>
                <w:sz w:val="24"/>
              </w:rPr>
            </w:r>
          </w:p>
        </w:tc>
        <w:tc>
          <w:tcPr>
            <w:tcW w:w="862" w:type="dxa"/>
          </w:tcPr>
          <w:p>
            <w:pPr>
              <w:pStyle w:val="0"/>
            </w:pPr>
            <w:r>
              <w:rPr>
                <w:sz w:val="24"/>
              </w:rPr>
            </w:r>
          </w:p>
        </w:tc>
        <w:tc>
          <w:tcPr>
            <w:tcW w:w="862" w:type="dxa"/>
          </w:tcPr>
          <w:p>
            <w:pPr>
              <w:pStyle w:val="0"/>
            </w:pPr>
            <w:r>
              <w:rPr>
                <w:sz w:val="24"/>
              </w:rPr>
            </w:r>
          </w:p>
        </w:tc>
        <w:tc>
          <w:tcPr>
            <w:tcW w:w="862" w:type="dxa"/>
          </w:tcPr>
          <w:p>
            <w:pPr>
              <w:pStyle w:val="0"/>
            </w:pPr>
            <w:r>
              <w:rPr>
                <w:sz w:val="24"/>
              </w:rPr>
            </w:r>
          </w:p>
        </w:tc>
        <w:tc>
          <w:tcPr>
            <w:tcW w:w="862" w:type="dxa"/>
          </w:tcPr>
          <w:p>
            <w:pPr>
              <w:pStyle w:val="0"/>
            </w:pPr>
            <w:r>
              <w:rPr>
                <w:sz w:val="24"/>
              </w:rPr>
            </w:r>
          </w:p>
        </w:tc>
        <w:tc>
          <w:tcPr>
            <w:tcW w:w="862" w:type="dxa"/>
          </w:tcPr>
          <w:p>
            <w:pPr>
              <w:pStyle w:val="0"/>
            </w:pPr>
            <w:r>
              <w:rPr>
                <w:sz w:val="24"/>
              </w:rPr>
            </w:r>
          </w:p>
        </w:tc>
        <w:tc>
          <w:tcPr>
            <w:tcW w:w="862" w:type="dxa"/>
          </w:tcPr>
          <w:p>
            <w:pPr>
              <w:pStyle w:val="0"/>
            </w:pPr>
            <w:r>
              <w:rPr>
                <w:sz w:val="24"/>
              </w:rPr>
            </w:r>
          </w:p>
        </w:tc>
        <w:tc>
          <w:tcPr>
            <w:tcW w:w="862" w:type="dxa"/>
          </w:tcPr>
          <w:p>
            <w:pPr>
              <w:pStyle w:val="0"/>
            </w:pPr>
            <w:r>
              <w:rPr>
                <w:sz w:val="24"/>
              </w:rPr>
            </w:r>
          </w:p>
        </w:tc>
        <w:tc>
          <w:tcPr>
            <w:tcW w:w="862" w:type="dxa"/>
          </w:tcPr>
          <w:p>
            <w:pPr>
              <w:pStyle w:val="0"/>
            </w:pPr>
            <w:r>
              <w:rPr>
                <w:sz w:val="24"/>
              </w:rPr>
            </w:r>
          </w:p>
        </w:tc>
        <w:tc>
          <w:tcPr>
            <w:tcW w:w="862" w:type="dxa"/>
          </w:tcPr>
          <w:p>
            <w:pPr>
              <w:pStyle w:val="0"/>
            </w:pPr>
            <w:r>
              <w:rPr>
                <w:sz w:val="24"/>
              </w:rPr>
            </w:r>
          </w:p>
        </w:tc>
      </w:tr>
      <w:tr>
        <w:tc>
          <w:tcPr>
            <w:vMerge w:val="continue"/>
          </w:tcPr>
          <w:p/>
        </w:tc>
        <w:tc>
          <w:tcPr>
            <w:tcW w:w="566" w:type="dxa"/>
          </w:tcPr>
          <w:p>
            <w:pPr>
              <w:pStyle w:val="0"/>
            </w:pPr>
            <w:r>
              <w:rPr>
                <w:sz w:val="24"/>
              </w:rPr>
            </w:r>
          </w:p>
        </w:tc>
        <w:tc>
          <w:tcPr>
            <w:tcW w:w="862" w:type="dxa"/>
            <w:vAlign w:val="center"/>
          </w:tcPr>
          <w:p>
            <w:pPr>
              <w:pStyle w:val="0"/>
              <w:jc w:val="center"/>
            </w:pPr>
            <w:r>
              <w:rPr>
                <w:sz w:val="24"/>
              </w:rPr>
              <w:t xml:space="preserve">Взрослые</w:t>
            </w:r>
          </w:p>
        </w:tc>
        <w:tc>
          <w:tcPr>
            <w:tcW w:w="862" w:type="dxa"/>
          </w:tcPr>
          <w:p>
            <w:pPr>
              <w:pStyle w:val="0"/>
            </w:pPr>
            <w:r>
              <w:rPr>
                <w:sz w:val="24"/>
              </w:rPr>
            </w:r>
          </w:p>
        </w:tc>
        <w:tc>
          <w:tcPr>
            <w:tcW w:w="862" w:type="dxa"/>
          </w:tcPr>
          <w:p>
            <w:pPr>
              <w:pStyle w:val="0"/>
            </w:pPr>
            <w:r>
              <w:rPr>
                <w:sz w:val="24"/>
              </w:rPr>
            </w:r>
          </w:p>
        </w:tc>
        <w:tc>
          <w:tcPr>
            <w:tcW w:w="862" w:type="dxa"/>
          </w:tcPr>
          <w:p>
            <w:pPr>
              <w:pStyle w:val="0"/>
            </w:pPr>
            <w:r>
              <w:rPr>
                <w:sz w:val="24"/>
              </w:rPr>
            </w:r>
          </w:p>
        </w:tc>
        <w:tc>
          <w:tcPr>
            <w:tcW w:w="862" w:type="dxa"/>
          </w:tcPr>
          <w:p>
            <w:pPr>
              <w:pStyle w:val="0"/>
            </w:pPr>
            <w:r>
              <w:rPr>
                <w:sz w:val="24"/>
              </w:rPr>
            </w:r>
          </w:p>
        </w:tc>
        <w:tc>
          <w:tcPr>
            <w:tcW w:w="862" w:type="dxa"/>
          </w:tcPr>
          <w:p>
            <w:pPr>
              <w:pStyle w:val="0"/>
            </w:pPr>
            <w:r>
              <w:rPr>
                <w:sz w:val="24"/>
              </w:rPr>
            </w:r>
          </w:p>
        </w:tc>
        <w:tc>
          <w:tcPr>
            <w:tcW w:w="862" w:type="dxa"/>
          </w:tcPr>
          <w:p>
            <w:pPr>
              <w:pStyle w:val="0"/>
            </w:pPr>
            <w:r>
              <w:rPr>
                <w:sz w:val="24"/>
              </w:rPr>
            </w:r>
          </w:p>
        </w:tc>
        <w:tc>
          <w:tcPr>
            <w:tcW w:w="862" w:type="dxa"/>
          </w:tcPr>
          <w:p>
            <w:pPr>
              <w:pStyle w:val="0"/>
            </w:pPr>
            <w:r>
              <w:rPr>
                <w:sz w:val="24"/>
              </w:rPr>
            </w:r>
          </w:p>
        </w:tc>
        <w:tc>
          <w:tcPr>
            <w:tcW w:w="862" w:type="dxa"/>
          </w:tcPr>
          <w:p>
            <w:pPr>
              <w:pStyle w:val="0"/>
            </w:pPr>
            <w:r>
              <w:rPr>
                <w:sz w:val="24"/>
              </w:rPr>
            </w:r>
          </w:p>
        </w:tc>
        <w:tc>
          <w:tcPr>
            <w:tcW w:w="862" w:type="dxa"/>
          </w:tcPr>
          <w:p>
            <w:pPr>
              <w:pStyle w:val="0"/>
            </w:pPr>
            <w:r>
              <w:rPr>
                <w:sz w:val="24"/>
              </w:rPr>
            </w:r>
          </w:p>
        </w:tc>
        <w:tc>
          <w:tcPr>
            <w:tcW w:w="862" w:type="dxa"/>
          </w:tcPr>
          <w:p>
            <w:pPr>
              <w:pStyle w:val="0"/>
            </w:pPr>
            <w:r>
              <w:rPr>
                <w:sz w:val="24"/>
              </w:rPr>
            </w:r>
          </w:p>
        </w:tc>
        <w:tc>
          <w:tcPr>
            <w:tcW w:w="862" w:type="dxa"/>
          </w:tcPr>
          <w:p>
            <w:pPr>
              <w:pStyle w:val="0"/>
            </w:pPr>
            <w:r>
              <w:rPr>
                <w:sz w:val="24"/>
              </w:rPr>
            </w:r>
          </w:p>
        </w:tc>
        <w:tc>
          <w:tcPr>
            <w:tcW w:w="862" w:type="dxa"/>
          </w:tcPr>
          <w:p>
            <w:pPr>
              <w:pStyle w:val="0"/>
            </w:pPr>
            <w:r>
              <w:rPr>
                <w:sz w:val="24"/>
              </w:rPr>
            </w:r>
          </w:p>
        </w:tc>
        <w:tc>
          <w:tcPr>
            <w:tcW w:w="862" w:type="dxa"/>
          </w:tcPr>
          <w:p>
            <w:pPr>
              <w:pStyle w:val="0"/>
            </w:pPr>
            <w:r>
              <w:rPr>
                <w:sz w:val="24"/>
              </w:rPr>
            </w:r>
          </w:p>
        </w:tc>
      </w:tr>
      <w:tr>
        <w:tc>
          <w:tcPr>
            <w:vMerge w:val="continue"/>
          </w:tcPr>
          <w:p/>
        </w:tc>
        <w:tc>
          <w:tcPr>
            <w:tcW w:w="566" w:type="dxa"/>
          </w:tcPr>
          <w:p>
            <w:pPr>
              <w:pStyle w:val="0"/>
            </w:pPr>
            <w:r>
              <w:rPr>
                <w:sz w:val="24"/>
              </w:rPr>
            </w:r>
          </w:p>
        </w:tc>
        <w:tc>
          <w:tcPr>
            <w:tcW w:w="862" w:type="dxa"/>
            <w:vAlign w:val="center"/>
          </w:tcPr>
          <w:p>
            <w:pPr>
              <w:pStyle w:val="0"/>
              <w:jc w:val="center"/>
            </w:pPr>
            <w:r>
              <w:rPr>
                <w:sz w:val="24"/>
              </w:rPr>
              <w:t xml:space="preserve">Дети</w:t>
            </w:r>
          </w:p>
        </w:tc>
        <w:tc>
          <w:tcPr>
            <w:tcW w:w="862" w:type="dxa"/>
          </w:tcPr>
          <w:p>
            <w:pPr>
              <w:pStyle w:val="0"/>
            </w:pPr>
            <w:r>
              <w:rPr>
                <w:sz w:val="24"/>
              </w:rPr>
            </w:r>
          </w:p>
        </w:tc>
        <w:tc>
          <w:tcPr>
            <w:tcW w:w="862" w:type="dxa"/>
          </w:tcPr>
          <w:p>
            <w:pPr>
              <w:pStyle w:val="0"/>
            </w:pPr>
            <w:r>
              <w:rPr>
                <w:sz w:val="24"/>
              </w:rPr>
            </w:r>
          </w:p>
        </w:tc>
        <w:tc>
          <w:tcPr>
            <w:tcW w:w="862" w:type="dxa"/>
          </w:tcPr>
          <w:p>
            <w:pPr>
              <w:pStyle w:val="0"/>
            </w:pPr>
            <w:r>
              <w:rPr>
                <w:sz w:val="24"/>
              </w:rPr>
            </w:r>
          </w:p>
        </w:tc>
        <w:tc>
          <w:tcPr>
            <w:tcW w:w="862" w:type="dxa"/>
          </w:tcPr>
          <w:p>
            <w:pPr>
              <w:pStyle w:val="0"/>
            </w:pPr>
            <w:r>
              <w:rPr>
                <w:sz w:val="24"/>
              </w:rPr>
            </w:r>
          </w:p>
        </w:tc>
        <w:tc>
          <w:tcPr>
            <w:tcW w:w="862" w:type="dxa"/>
          </w:tcPr>
          <w:p>
            <w:pPr>
              <w:pStyle w:val="0"/>
            </w:pPr>
            <w:r>
              <w:rPr>
                <w:sz w:val="24"/>
              </w:rPr>
            </w:r>
          </w:p>
        </w:tc>
        <w:tc>
          <w:tcPr>
            <w:tcW w:w="862" w:type="dxa"/>
          </w:tcPr>
          <w:p>
            <w:pPr>
              <w:pStyle w:val="0"/>
            </w:pPr>
            <w:r>
              <w:rPr>
                <w:sz w:val="24"/>
              </w:rPr>
            </w:r>
          </w:p>
        </w:tc>
        <w:tc>
          <w:tcPr>
            <w:tcW w:w="862" w:type="dxa"/>
          </w:tcPr>
          <w:p>
            <w:pPr>
              <w:pStyle w:val="0"/>
            </w:pPr>
            <w:r>
              <w:rPr>
                <w:sz w:val="24"/>
              </w:rPr>
            </w:r>
          </w:p>
        </w:tc>
        <w:tc>
          <w:tcPr>
            <w:tcW w:w="862" w:type="dxa"/>
          </w:tcPr>
          <w:p>
            <w:pPr>
              <w:pStyle w:val="0"/>
            </w:pPr>
            <w:r>
              <w:rPr>
                <w:sz w:val="24"/>
              </w:rPr>
            </w:r>
          </w:p>
        </w:tc>
        <w:tc>
          <w:tcPr>
            <w:tcW w:w="862" w:type="dxa"/>
          </w:tcPr>
          <w:p>
            <w:pPr>
              <w:pStyle w:val="0"/>
            </w:pPr>
            <w:r>
              <w:rPr>
                <w:sz w:val="24"/>
              </w:rPr>
            </w:r>
          </w:p>
        </w:tc>
        <w:tc>
          <w:tcPr>
            <w:tcW w:w="862" w:type="dxa"/>
          </w:tcPr>
          <w:p>
            <w:pPr>
              <w:pStyle w:val="0"/>
            </w:pPr>
            <w:r>
              <w:rPr>
                <w:sz w:val="24"/>
              </w:rPr>
            </w:r>
          </w:p>
        </w:tc>
        <w:tc>
          <w:tcPr>
            <w:tcW w:w="862" w:type="dxa"/>
          </w:tcPr>
          <w:p>
            <w:pPr>
              <w:pStyle w:val="0"/>
            </w:pPr>
            <w:r>
              <w:rPr>
                <w:sz w:val="24"/>
              </w:rPr>
            </w:r>
          </w:p>
        </w:tc>
        <w:tc>
          <w:tcPr>
            <w:tcW w:w="862" w:type="dxa"/>
          </w:tcPr>
          <w:p>
            <w:pPr>
              <w:pStyle w:val="0"/>
            </w:pPr>
            <w:r>
              <w:rPr>
                <w:sz w:val="24"/>
              </w:rPr>
            </w:r>
          </w:p>
        </w:tc>
        <w:tc>
          <w:tcPr>
            <w:tcW w:w="862" w:type="dxa"/>
          </w:tcPr>
          <w:p>
            <w:pPr>
              <w:pStyle w:val="0"/>
            </w:pPr>
            <w:r>
              <w:rPr>
                <w:sz w:val="24"/>
              </w:rPr>
            </w:r>
          </w:p>
        </w:tc>
      </w:tr>
      <w:tr>
        <w:tc>
          <w:tcPr>
            <w:tcW w:w="964" w:type="dxa"/>
            <w:vAlign w:val="center"/>
            <w:vMerge w:val="restart"/>
          </w:tcPr>
          <w:p>
            <w:pPr>
              <w:pStyle w:val="0"/>
              <w:jc w:val="center"/>
            </w:pPr>
            <w:r>
              <w:rPr>
                <w:sz w:val="24"/>
              </w:rPr>
              <w:t xml:space="preserve">Год участия - 2</w:t>
            </w:r>
          </w:p>
        </w:tc>
        <w:tc>
          <w:tcPr>
            <w:tcW w:w="566" w:type="dxa"/>
          </w:tcPr>
          <w:p>
            <w:pPr>
              <w:pStyle w:val="0"/>
            </w:pPr>
            <w:r>
              <w:rPr>
                <w:sz w:val="24"/>
              </w:rPr>
            </w:r>
          </w:p>
        </w:tc>
        <w:tc>
          <w:tcPr>
            <w:tcW w:w="862" w:type="dxa"/>
            <w:vAlign w:val="center"/>
          </w:tcPr>
          <w:p>
            <w:pPr>
              <w:pStyle w:val="0"/>
              <w:jc w:val="center"/>
            </w:pPr>
            <w:r>
              <w:rPr>
                <w:sz w:val="24"/>
              </w:rPr>
              <w:t xml:space="preserve">Всего</w:t>
            </w:r>
          </w:p>
        </w:tc>
        <w:tc>
          <w:tcPr>
            <w:tcW w:w="862" w:type="dxa"/>
          </w:tcPr>
          <w:p>
            <w:pPr>
              <w:pStyle w:val="0"/>
            </w:pPr>
            <w:r>
              <w:rPr>
                <w:sz w:val="24"/>
              </w:rPr>
            </w:r>
          </w:p>
        </w:tc>
        <w:tc>
          <w:tcPr>
            <w:tcW w:w="862" w:type="dxa"/>
          </w:tcPr>
          <w:p>
            <w:pPr>
              <w:pStyle w:val="0"/>
            </w:pPr>
            <w:r>
              <w:rPr>
                <w:sz w:val="24"/>
              </w:rPr>
            </w:r>
          </w:p>
        </w:tc>
        <w:tc>
          <w:tcPr>
            <w:tcW w:w="862" w:type="dxa"/>
          </w:tcPr>
          <w:p>
            <w:pPr>
              <w:pStyle w:val="0"/>
            </w:pPr>
            <w:r>
              <w:rPr>
                <w:sz w:val="24"/>
              </w:rPr>
            </w:r>
          </w:p>
        </w:tc>
        <w:tc>
          <w:tcPr>
            <w:tcW w:w="862" w:type="dxa"/>
          </w:tcPr>
          <w:p>
            <w:pPr>
              <w:pStyle w:val="0"/>
            </w:pPr>
            <w:r>
              <w:rPr>
                <w:sz w:val="24"/>
              </w:rPr>
            </w:r>
          </w:p>
        </w:tc>
        <w:tc>
          <w:tcPr>
            <w:tcW w:w="862" w:type="dxa"/>
          </w:tcPr>
          <w:p>
            <w:pPr>
              <w:pStyle w:val="0"/>
            </w:pPr>
            <w:r>
              <w:rPr>
                <w:sz w:val="24"/>
              </w:rPr>
            </w:r>
          </w:p>
        </w:tc>
        <w:tc>
          <w:tcPr>
            <w:tcW w:w="862" w:type="dxa"/>
          </w:tcPr>
          <w:p>
            <w:pPr>
              <w:pStyle w:val="0"/>
            </w:pPr>
            <w:r>
              <w:rPr>
                <w:sz w:val="24"/>
              </w:rPr>
            </w:r>
          </w:p>
        </w:tc>
        <w:tc>
          <w:tcPr>
            <w:tcW w:w="862" w:type="dxa"/>
          </w:tcPr>
          <w:p>
            <w:pPr>
              <w:pStyle w:val="0"/>
            </w:pPr>
            <w:r>
              <w:rPr>
                <w:sz w:val="24"/>
              </w:rPr>
            </w:r>
          </w:p>
        </w:tc>
        <w:tc>
          <w:tcPr>
            <w:tcW w:w="862" w:type="dxa"/>
          </w:tcPr>
          <w:p>
            <w:pPr>
              <w:pStyle w:val="0"/>
            </w:pPr>
            <w:r>
              <w:rPr>
                <w:sz w:val="24"/>
              </w:rPr>
            </w:r>
          </w:p>
        </w:tc>
        <w:tc>
          <w:tcPr>
            <w:tcW w:w="862" w:type="dxa"/>
          </w:tcPr>
          <w:p>
            <w:pPr>
              <w:pStyle w:val="0"/>
            </w:pPr>
            <w:r>
              <w:rPr>
                <w:sz w:val="24"/>
              </w:rPr>
            </w:r>
          </w:p>
        </w:tc>
        <w:tc>
          <w:tcPr>
            <w:tcW w:w="862" w:type="dxa"/>
          </w:tcPr>
          <w:p>
            <w:pPr>
              <w:pStyle w:val="0"/>
            </w:pPr>
            <w:r>
              <w:rPr>
                <w:sz w:val="24"/>
              </w:rPr>
            </w:r>
          </w:p>
        </w:tc>
        <w:tc>
          <w:tcPr>
            <w:tcW w:w="862" w:type="dxa"/>
          </w:tcPr>
          <w:p>
            <w:pPr>
              <w:pStyle w:val="0"/>
            </w:pPr>
            <w:r>
              <w:rPr>
                <w:sz w:val="24"/>
              </w:rPr>
            </w:r>
          </w:p>
        </w:tc>
        <w:tc>
          <w:tcPr>
            <w:tcW w:w="862" w:type="dxa"/>
          </w:tcPr>
          <w:p>
            <w:pPr>
              <w:pStyle w:val="0"/>
            </w:pPr>
            <w:r>
              <w:rPr>
                <w:sz w:val="24"/>
              </w:rPr>
            </w:r>
          </w:p>
        </w:tc>
        <w:tc>
          <w:tcPr>
            <w:tcW w:w="862" w:type="dxa"/>
          </w:tcPr>
          <w:p>
            <w:pPr>
              <w:pStyle w:val="0"/>
            </w:pPr>
            <w:r>
              <w:rPr>
                <w:sz w:val="24"/>
              </w:rPr>
            </w:r>
          </w:p>
        </w:tc>
      </w:tr>
      <w:tr>
        <w:tc>
          <w:tcPr>
            <w:vMerge w:val="continue"/>
          </w:tcPr>
          <w:p/>
        </w:tc>
        <w:tc>
          <w:tcPr>
            <w:tcW w:w="566" w:type="dxa"/>
          </w:tcPr>
          <w:p>
            <w:pPr>
              <w:pStyle w:val="0"/>
            </w:pPr>
            <w:r>
              <w:rPr>
                <w:sz w:val="24"/>
              </w:rPr>
            </w:r>
          </w:p>
        </w:tc>
        <w:tc>
          <w:tcPr>
            <w:tcW w:w="862" w:type="dxa"/>
            <w:vAlign w:val="center"/>
          </w:tcPr>
          <w:p>
            <w:pPr>
              <w:pStyle w:val="0"/>
              <w:jc w:val="center"/>
            </w:pPr>
            <w:r>
              <w:rPr>
                <w:sz w:val="24"/>
              </w:rPr>
              <w:t xml:space="preserve">Взрослые</w:t>
            </w:r>
          </w:p>
        </w:tc>
        <w:tc>
          <w:tcPr>
            <w:tcW w:w="862" w:type="dxa"/>
          </w:tcPr>
          <w:p>
            <w:pPr>
              <w:pStyle w:val="0"/>
            </w:pPr>
            <w:r>
              <w:rPr>
                <w:sz w:val="24"/>
              </w:rPr>
            </w:r>
          </w:p>
        </w:tc>
        <w:tc>
          <w:tcPr>
            <w:tcW w:w="862" w:type="dxa"/>
          </w:tcPr>
          <w:p>
            <w:pPr>
              <w:pStyle w:val="0"/>
            </w:pPr>
            <w:r>
              <w:rPr>
                <w:sz w:val="24"/>
              </w:rPr>
            </w:r>
          </w:p>
        </w:tc>
        <w:tc>
          <w:tcPr>
            <w:tcW w:w="862" w:type="dxa"/>
          </w:tcPr>
          <w:p>
            <w:pPr>
              <w:pStyle w:val="0"/>
            </w:pPr>
            <w:r>
              <w:rPr>
                <w:sz w:val="24"/>
              </w:rPr>
            </w:r>
          </w:p>
        </w:tc>
        <w:tc>
          <w:tcPr>
            <w:tcW w:w="862" w:type="dxa"/>
          </w:tcPr>
          <w:p>
            <w:pPr>
              <w:pStyle w:val="0"/>
            </w:pPr>
            <w:r>
              <w:rPr>
                <w:sz w:val="24"/>
              </w:rPr>
            </w:r>
          </w:p>
        </w:tc>
        <w:tc>
          <w:tcPr>
            <w:tcW w:w="862" w:type="dxa"/>
          </w:tcPr>
          <w:p>
            <w:pPr>
              <w:pStyle w:val="0"/>
            </w:pPr>
            <w:r>
              <w:rPr>
                <w:sz w:val="24"/>
              </w:rPr>
            </w:r>
          </w:p>
        </w:tc>
        <w:tc>
          <w:tcPr>
            <w:tcW w:w="862" w:type="dxa"/>
          </w:tcPr>
          <w:p>
            <w:pPr>
              <w:pStyle w:val="0"/>
            </w:pPr>
            <w:r>
              <w:rPr>
                <w:sz w:val="24"/>
              </w:rPr>
            </w:r>
          </w:p>
        </w:tc>
        <w:tc>
          <w:tcPr>
            <w:tcW w:w="862" w:type="dxa"/>
          </w:tcPr>
          <w:p>
            <w:pPr>
              <w:pStyle w:val="0"/>
            </w:pPr>
            <w:r>
              <w:rPr>
                <w:sz w:val="24"/>
              </w:rPr>
            </w:r>
          </w:p>
        </w:tc>
        <w:tc>
          <w:tcPr>
            <w:tcW w:w="862" w:type="dxa"/>
          </w:tcPr>
          <w:p>
            <w:pPr>
              <w:pStyle w:val="0"/>
            </w:pPr>
            <w:r>
              <w:rPr>
                <w:sz w:val="24"/>
              </w:rPr>
            </w:r>
          </w:p>
        </w:tc>
        <w:tc>
          <w:tcPr>
            <w:tcW w:w="862" w:type="dxa"/>
          </w:tcPr>
          <w:p>
            <w:pPr>
              <w:pStyle w:val="0"/>
            </w:pPr>
            <w:r>
              <w:rPr>
                <w:sz w:val="24"/>
              </w:rPr>
            </w:r>
          </w:p>
        </w:tc>
        <w:tc>
          <w:tcPr>
            <w:tcW w:w="862" w:type="dxa"/>
          </w:tcPr>
          <w:p>
            <w:pPr>
              <w:pStyle w:val="0"/>
            </w:pPr>
            <w:r>
              <w:rPr>
                <w:sz w:val="24"/>
              </w:rPr>
            </w:r>
          </w:p>
        </w:tc>
        <w:tc>
          <w:tcPr>
            <w:tcW w:w="862" w:type="dxa"/>
          </w:tcPr>
          <w:p>
            <w:pPr>
              <w:pStyle w:val="0"/>
            </w:pPr>
            <w:r>
              <w:rPr>
                <w:sz w:val="24"/>
              </w:rPr>
            </w:r>
          </w:p>
        </w:tc>
        <w:tc>
          <w:tcPr>
            <w:tcW w:w="862" w:type="dxa"/>
          </w:tcPr>
          <w:p>
            <w:pPr>
              <w:pStyle w:val="0"/>
            </w:pPr>
            <w:r>
              <w:rPr>
                <w:sz w:val="24"/>
              </w:rPr>
            </w:r>
          </w:p>
        </w:tc>
        <w:tc>
          <w:tcPr>
            <w:tcW w:w="862" w:type="dxa"/>
          </w:tcPr>
          <w:p>
            <w:pPr>
              <w:pStyle w:val="0"/>
            </w:pPr>
            <w:r>
              <w:rPr>
                <w:sz w:val="24"/>
              </w:rPr>
            </w:r>
          </w:p>
        </w:tc>
      </w:tr>
      <w:tr>
        <w:tc>
          <w:tcPr>
            <w:vMerge w:val="continue"/>
          </w:tcPr>
          <w:p/>
        </w:tc>
        <w:tc>
          <w:tcPr>
            <w:tcW w:w="566" w:type="dxa"/>
          </w:tcPr>
          <w:p>
            <w:pPr>
              <w:pStyle w:val="0"/>
            </w:pPr>
            <w:r>
              <w:rPr>
                <w:sz w:val="24"/>
              </w:rPr>
            </w:r>
          </w:p>
        </w:tc>
        <w:tc>
          <w:tcPr>
            <w:tcW w:w="862" w:type="dxa"/>
            <w:vAlign w:val="center"/>
          </w:tcPr>
          <w:p>
            <w:pPr>
              <w:pStyle w:val="0"/>
              <w:jc w:val="center"/>
            </w:pPr>
            <w:r>
              <w:rPr>
                <w:sz w:val="24"/>
              </w:rPr>
              <w:t xml:space="preserve">Дети</w:t>
            </w:r>
          </w:p>
        </w:tc>
        <w:tc>
          <w:tcPr>
            <w:tcW w:w="862" w:type="dxa"/>
          </w:tcPr>
          <w:p>
            <w:pPr>
              <w:pStyle w:val="0"/>
            </w:pPr>
            <w:r>
              <w:rPr>
                <w:sz w:val="24"/>
              </w:rPr>
            </w:r>
          </w:p>
        </w:tc>
        <w:tc>
          <w:tcPr>
            <w:tcW w:w="862" w:type="dxa"/>
          </w:tcPr>
          <w:p>
            <w:pPr>
              <w:pStyle w:val="0"/>
            </w:pPr>
            <w:r>
              <w:rPr>
                <w:sz w:val="24"/>
              </w:rPr>
            </w:r>
          </w:p>
        </w:tc>
        <w:tc>
          <w:tcPr>
            <w:tcW w:w="862" w:type="dxa"/>
          </w:tcPr>
          <w:p>
            <w:pPr>
              <w:pStyle w:val="0"/>
            </w:pPr>
            <w:r>
              <w:rPr>
                <w:sz w:val="24"/>
              </w:rPr>
            </w:r>
          </w:p>
        </w:tc>
        <w:tc>
          <w:tcPr>
            <w:tcW w:w="862" w:type="dxa"/>
          </w:tcPr>
          <w:p>
            <w:pPr>
              <w:pStyle w:val="0"/>
            </w:pPr>
            <w:r>
              <w:rPr>
                <w:sz w:val="24"/>
              </w:rPr>
            </w:r>
          </w:p>
        </w:tc>
        <w:tc>
          <w:tcPr>
            <w:tcW w:w="862" w:type="dxa"/>
          </w:tcPr>
          <w:p>
            <w:pPr>
              <w:pStyle w:val="0"/>
            </w:pPr>
            <w:r>
              <w:rPr>
                <w:sz w:val="24"/>
              </w:rPr>
            </w:r>
          </w:p>
        </w:tc>
        <w:tc>
          <w:tcPr>
            <w:tcW w:w="862" w:type="dxa"/>
          </w:tcPr>
          <w:p>
            <w:pPr>
              <w:pStyle w:val="0"/>
            </w:pPr>
            <w:r>
              <w:rPr>
                <w:sz w:val="24"/>
              </w:rPr>
            </w:r>
          </w:p>
        </w:tc>
        <w:tc>
          <w:tcPr>
            <w:tcW w:w="862" w:type="dxa"/>
          </w:tcPr>
          <w:p>
            <w:pPr>
              <w:pStyle w:val="0"/>
            </w:pPr>
            <w:r>
              <w:rPr>
                <w:sz w:val="24"/>
              </w:rPr>
            </w:r>
          </w:p>
        </w:tc>
        <w:tc>
          <w:tcPr>
            <w:tcW w:w="862" w:type="dxa"/>
          </w:tcPr>
          <w:p>
            <w:pPr>
              <w:pStyle w:val="0"/>
            </w:pPr>
            <w:r>
              <w:rPr>
                <w:sz w:val="24"/>
              </w:rPr>
            </w:r>
          </w:p>
        </w:tc>
        <w:tc>
          <w:tcPr>
            <w:tcW w:w="862" w:type="dxa"/>
          </w:tcPr>
          <w:p>
            <w:pPr>
              <w:pStyle w:val="0"/>
            </w:pPr>
            <w:r>
              <w:rPr>
                <w:sz w:val="24"/>
              </w:rPr>
            </w:r>
          </w:p>
        </w:tc>
        <w:tc>
          <w:tcPr>
            <w:tcW w:w="862" w:type="dxa"/>
          </w:tcPr>
          <w:p>
            <w:pPr>
              <w:pStyle w:val="0"/>
            </w:pPr>
            <w:r>
              <w:rPr>
                <w:sz w:val="24"/>
              </w:rPr>
            </w:r>
          </w:p>
        </w:tc>
        <w:tc>
          <w:tcPr>
            <w:tcW w:w="862" w:type="dxa"/>
          </w:tcPr>
          <w:p>
            <w:pPr>
              <w:pStyle w:val="0"/>
            </w:pPr>
            <w:r>
              <w:rPr>
                <w:sz w:val="24"/>
              </w:rPr>
            </w:r>
          </w:p>
        </w:tc>
        <w:tc>
          <w:tcPr>
            <w:tcW w:w="862" w:type="dxa"/>
          </w:tcPr>
          <w:p>
            <w:pPr>
              <w:pStyle w:val="0"/>
            </w:pPr>
            <w:r>
              <w:rPr>
                <w:sz w:val="24"/>
              </w:rPr>
            </w:r>
          </w:p>
        </w:tc>
        <w:tc>
          <w:tcPr>
            <w:tcW w:w="862" w:type="dxa"/>
          </w:tcPr>
          <w:p>
            <w:pPr>
              <w:pStyle w:val="0"/>
            </w:pPr>
            <w:r>
              <w:rPr>
                <w:sz w:val="24"/>
              </w:rPr>
            </w:r>
          </w:p>
        </w:tc>
      </w:tr>
      <w:tr>
        <w:tc>
          <w:tcPr>
            <w:tcW w:w="964" w:type="dxa"/>
            <w:vAlign w:val="center"/>
            <w:vMerge w:val="restart"/>
          </w:tcPr>
          <w:p>
            <w:pPr>
              <w:pStyle w:val="0"/>
              <w:jc w:val="center"/>
            </w:pPr>
            <w:r>
              <w:rPr>
                <w:sz w:val="24"/>
              </w:rPr>
              <w:t xml:space="preserve">Год участия - 1</w:t>
            </w:r>
          </w:p>
        </w:tc>
        <w:tc>
          <w:tcPr>
            <w:tcW w:w="566" w:type="dxa"/>
          </w:tcPr>
          <w:p>
            <w:pPr>
              <w:pStyle w:val="0"/>
            </w:pPr>
            <w:r>
              <w:rPr>
                <w:sz w:val="24"/>
              </w:rPr>
            </w:r>
          </w:p>
        </w:tc>
        <w:tc>
          <w:tcPr>
            <w:tcW w:w="862" w:type="dxa"/>
            <w:vAlign w:val="center"/>
          </w:tcPr>
          <w:p>
            <w:pPr>
              <w:pStyle w:val="0"/>
              <w:jc w:val="center"/>
            </w:pPr>
            <w:r>
              <w:rPr>
                <w:sz w:val="24"/>
              </w:rPr>
              <w:t xml:space="preserve">Всего</w:t>
            </w:r>
          </w:p>
        </w:tc>
        <w:tc>
          <w:tcPr>
            <w:tcW w:w="862" w:type="dxa"/>
          </w:tcPr>
          <w:p>
            <w:pPr>
              <w:pStyle w:val="0"/>
            </w:pPr>
            <w:r>
              <w:rPr>
                <w:sz w:val="24"/>
              </w:rPr>
            </w:r>
          </w:p>
        </w:tc>
        <w:tc>
          <w:tcPr>
            <w:tcW w:w="862" w:type="dxa"/>
          </w:tcPr>
          <w:p>
            <w:pPr>
              <w:pStyle w:val="0"/>
            </w:pPr>
            <w:r>
              <w:rPr>
                <w:sz w:val="24"/>
              </w:rPr>
            </w:r>
          </w:p>
        </w:tc>
        <w:tc>
          <w:tcPr>
            <w:tcW w:w="862" w:type="dxa"/>
          </w:tcPr>
          <w:p>
            <w:pPr>
              <w:pStyle w:val="0"/>
            </w:pPr>
            <w:r>
              <w:rPr>
                <w:sz w:val="24"/>
              </w:rPr>
            </w:r>
          </w:p>
        </w:tc>
        <w:tc>
          <w:tcPr>
            <w:tcW w:w="862" w:type="dxa"/>
          </w:tcPr>
          <w:p>
            <w:pPr>
              <w:pStyle w:val="0"/>
            </w:pPr>
            <w:r>
              <w:rPr>
                <w:sz w:val="24"/>
              </w:rPr>
            </w:r>
          </w:p>
        </w:tc>
        <w:tc>
          <w:tcPr>
            <w:tcW w:w="862" w:type="dxa"/>
          </w:tcPr>
          <w:p>
            <w:pPr>
              <w:pStyle w:val="0"/>
            </w:pPr>
            <w:r>
              <w:rPr>
                <w:sz w:val="24"/>
              </w:rPr>
            </w:r>
          </w:p>
        </w:tc>
        <w:tc>
          <w:tcPr>
            <w:tcW w:w="862" w:type="dxa"/>
          </w:tcPr>
          <w:p>
            <w:pPr>
              <w:pStyle w:val="0"/>
            </w:pPr>
            <w:r>
              <w:rPr>
                <w:sz w:val="24"/>
              </w:rPr>
            </w:r>
          </w:p>
        </w:tc>
        <w:tc>
          <w:tcPr>
            <w:tcW w:w="862" w:type="dxa"/>
          </w:tcPr>
          <w:p>
            <w:pPr>
              <w:pStyle w:val="0"/>
            </w:pPr>
            <w:r>
              <w:rPr>
                <w:sz w:val="24"/>
              </w:rPr>
            </w:r>
          </w:p>
        </w:tc>
        <w:tc>
          <w:tcPr>
            <w:tcW w:w="862" w:type="dxa"/>
          </w:tcPr>
          <w:p>
            <w:pPr>
              <w:pStyle w:val="0"/>
            </w:pPr>
            <w:r>
              <w:rPr>
                <w:sz w:val="24"/>
              </w:rPr>
            </w:r>
          </w:p>
        </w:tc>
        <w:tc>
          <w:tcPr>
            <w:tcW w:w="862" w:type="dxa"/>
          </w:tcPr>
          <w:p>
            <w:pPr>
              <w:pStyle w:val="0"/>
            </w:pPr>
            <w:r>
              <w:rPr>
                <w:sz w:val="24"/>
              </w:rPr>
            </w:r>
          </w:p>
        </w:tc>
        <w:tc>
          <w:tcPr>
            <w:tcW w:w="862" w:type="dxa"/>
          </w:tcPr>
          <w:p>
            <w:pPr>
              <w:pStyle w:val="0"/>
            </w:pPr>
            <w:r>
              <w:rPr>
                <w:sz w:val="24"/>
              </w:rPr>
            </w:r>
          </w:p>
        </w:tc>
        <w:tc>
          <w:tcPr>
            <w:tcW w:w="862" w:type="dxa"/>
          </w:tcPr>
          <w:p>
            <w:pPr>
              <w:pStyle w:val="0"/>
            </w:pPr>
            <w:r>
              <w:rPr>
                <w:sz w:val="24"/>
              </w:rPr>
            </w:r>
          </w:p>
        </w:tc>
        <w:tc>
          <w:tcPr>
            <w:tcW w:w="862" w:type="dxa"/>
          </w:tcPr>
          <w:p>
            <w:pPr>
              <w:pStyle w:val="0"/>
            </w:pPr>
            <w:r>
              <w:rPr>
                <w:sz w:val="24"/>
              </w:rPr>
            </w:r>
          </w:p>
        </w:tc>
        <w:tc>
          <w:tcPr>
            <w:tcW w:w="862" w:type="dxa"/>
          </w:tcPr>
          <w:p>
            <w:pPr>
              <w:pStyle w:val="0"/>
            </w:pPr>
            <w:r>
              <w:rPr>
                <w:sz w:val="24"/>
              </w:rPr>
            </w:r>
          </w:p>
        </w:tc>
      </w:tr>
      <w:tr>
        <w:tc>
          <w:tcPr>
            <w:vMerge w:val="continue"/>
          </w:tcPr>
          <w:p/>
        </w:tc>
        <w:tc>
          <w:tcPr>
            <w:tcW w:w="566" w:type="dxa"/>
          </w:tcPr>
          <w:p>
            <w:pPr>
              <w:pStyle w:val="0"/>
            </w:pPr>
            <w:r>
              <w:rPr>
                <w:sz w:val="24"/>
              </w:rPr>
            </w:r>
          </w:p>
        </w:tc>
        <w:tc>
          <w:tcPr>
            <w:tcW w:w="862" w:type="dxa"/>
            <w:vAlign w:val="center"/>
          </w:tcPr>
          <w:p>
            <w:pPr>
              <w:pStyle w:val="0"/>
              <w:jc w:val="center"/>
            </w:pPr>
            <w:r>
              <w:rPr>
                <w:sz w:val="24"/>
              </w:rPr>
              <w:t xml:space="preserve">Взрослые</w:t>
            </w:r>
          </w:p>
        </w:tc>
        <w:tc>
          <w:tcPr>
            <w:tcW w:w="862" w:type="dxa"/>
          </w:tcPr>
          <w:p>
            <w:pPr>
              <w:pStyle w:val="0"/>
            </w:pPr>
            <w:r>
              <w:rPr>
                <w:sz w:val="24"/>
              </w:rPr>
            </w:r>
          </w:p>
        </w:tc>
        <w:tc>
          <w:tcPr>
            <w:tcW w:w="862" w:type="dxa"/>
          </w:tcPr>
          <w:p>
            <w:pPr>
              <w:pStyle w:val="0"/>
            </w:pPr>
            <w:r>
              <w:rPr>
                <w:sz w:val="24"/>
              </w:rPr>
            </w:r>
          </w:p>
        </w:tc>
        <w:tc>
          <w:tcPr>
            <w:tcW w:w="862" w:type="dxa"/>
          </w:tcPr>
          <w:p>
            <w:pPr>
              <w:pStyle w:val="0"/>
            </w:pPr>
            <w:r>
              <w:rPr>
                <w:sz w:val="24"/>
              </w:rPr>
            </w:r>
          </w:p>
        </w:tc>
        <w:tc>
          <w:tcPr>
            <w:tcW w:w="862" w:type="dxa"/>
          </w:tcPr>
          <w:p>
            <w:pPr>
              <w:pStyle w:val="0"/>
            </w:pPr>
            <w:r>
              <w:rPr>
                <w:sz w:val="24"/>
              </w:rPr>
            </w:r>
          </w:p>
        </w:tc>
        <w:tc>
          <w:tcPr>
            <w:tcW w:w="862" w:type="dxa"/>
          </w:tcPr>
          <w:p>
            <w:pPr>
              <w:pStyle w:val="0"/>
            </w:pPr>
            <w:r>
              <w:rPr>
                <w:sz w:val="24"/>
              </w:rPr>
            </w:r>
          </w:p>
        </w:tc>
        <w:tc>
          <w:tcPr>
            <w:tcW w:w="862" w:type="dxa"/>
          </w:tcPr>
          <w:p>
            <w:pPr>
              <w:pStyle w:val="0"/>
            </w:pPr>
            <w:r>
              <w:rPr>
                <w:sz w:val="24"/>
              </w:rPr>
            </w:r>
          </w:p>
        </w:tc>
        <w:tc>
          <w:tcPr>
            <w:tcW w:w="862" w:type="dxa"/>
          </w:tcPr>
          <w:p>
            <w:pPr>
              <w:pStyle w:val="0"/>
            </w:pPr>
            <w:r>
              <w:rPr>
                <w:sz w:val="24"/>
              </w:rPr>
            </w:r>
          </w:p>
        </w:tc>
        <w:tc>
          <w:tcPr>
            <w:tcW w:w="862" w:type="dxa"/>
          </w:tcPr>
          <w:p>
            <w:pPr>
              <w:pStyle w:val="0"/>
            </w:pPr>
            <w:r>
              <w:rPr>
                <w:sz w:val="24"/>
              </w:rPr>
            </w:r>
          </w:p>
        </w:tc>
        <w:tc>
          <w:tcPr>
            <w:tcW w:w="862" w:type="dxa"/>
          </w:tcPr>
          <w:p>
            <w:pPr>
              <w:pStyle w:val="0"/>
            </w:pPr>
            <w:r>
              <w:rPr>
                <w:sz w:val="24"/>
              </w:rPr>
            </w:r>
          </w:p>
        </w:tc>
        <w:tc>
          <w:tcPr>
            <w:tcW w:w="862" w:type="dxa"/>
          </w:tcPr>
          <w:p>
            <w:pPr>
              <w:pStyle w:val="0"/>
            </w:pPr>
            <w:r>
              <w:rPr>
                <w:sz w:val="24"/>
              </w:rPr>
            </w:r>
          </w:p>
        </w:tc>
        <w:tc>
          <w:tcPr>
            <w:tcW w:w="862" w:type="dxa"/>
          </w:tcPr>
          <w:p>
            <w:pPr>
              <w:pStyle w:val="0"/>
            </w:pPr>
            <w:r>
              <w:rPr>
                <w:sz w:val="24"/>
              </w:rPr>
            </w:r>
          </w:p>
        </w:tc>
        <w:tc>
          <w:tcPr>
            <w:tcW w:w="862" w:type="dxa"/>
          </w:tcPr>
          <w:p>
            <w:pPr>
              <w:pStyle w:val="0"/>
            </w:pPr>
            <w:r>
              <w:rPr>
                <w:sz w:val="24"/>
              </w:rPr>
            </w:r>
          </w:p>
        </w:tc>
        <w:tc>
          <w:tcPr>
            <w:tcW w:w="862" w:type="dxa"/>
          </w:tcPr>
          <w:p>
            <w:pPr>
              <w:pStyle w:val="0"/>
            </w:pPr>
            <w:r>
              <w:rPr>
                <w:sz w:val="24"/>
              </w:rPr>
            </w:r>
          </w:p>
        </w:tc>
      </w:tr>
      <w:tr>
        <w:tc>
          <w:tcPr>
            <w:vMerge w:val="continue"/>
          </w:tcPr>
          <w:p/>
        </w:tc>
        <w:tc>
          <w:tcPr>
            <w:tcW w:w="566" w:type="dxa"/>
          </w:tcPr>
          <w:p>
            <w:pPr>
              <w:pStyle w:val="0"/>
            </w:pPr>
            <w:r>
              <w:rPr>
                <w:sz w:val="24"/>
              </w:rPr>
            </w:r>
          </w:p>
        </w:tc>
        <w:tc>
          <w:tcPr>
            <w:tcW w:w="862" w:type="dxa"/>
            <w:vAlign w:val="center"/>
          </w:tcPr>
          <w:p>
            <w:pPr>
              <w:pStyle w:val="0"/>
              <w:jc w:val="center"/>
            </w:pPr>
            <w:r>
              <w:rPr>
                <w:sz w:val="24"/>
              </w:rPr>
              <w:t xml:space="preserve">Дети</w:t>
            </w:r>
          </w:p>
        </w:tc>
        <w:tc>
          <w:tcPr>
            <w:tcW w:w="862" w:type="dxa"/>
          </w:tcPr>
          <w:p>
            <w:pPr>
              <w:pStyle w:val="0"/>
            </w:pPr>
            <w:r>
              <w:rPr>
                <w:sz w:val="24"/>
              </w:rPr>
            </w:r>
          </w:p>
        </w:tc>
        <w:tc>
          <w:tcPr>
            <w:tcW w:w="862" w:type="dxa"/>
          </w:tcPr>
          <w:p>
            <w:pPr>
              <w:pStyle w:val="0"/>
            </w:pPr>
            <w:r>
              <w:rPr>
                <w:sz w:val="24"/>
              </w:rPr>
            </w:r>
          </w:p>
        </w:tc>
        <w:tc>
          <w:tcPr>
            <w:tcW w:w="862" w:type="dxa"/>
          </w:tcPr>
          <w:p>
            <w:pPr>
              <w:pStyle w:val="0"/>
            </w:pPr>
            <w:r>
              <w:rPr>
                <w:sz w:val="24"/>
              </w:rPr>
            </w:r>
          </w:p>
        </w:tc>
        <w:tc>
          <w:tcPr>
            <w:tcW w:w="862" w:type="dxa"/>
          </w:tcPr>
          <w:p>
            <w:pPr>
              <w:pStyle w:val="0"/>
            </w:pPr>
            <w:r>
              <w:rPr>
                <w:sz w:val="24"/>
              </w:rPr>
            </w:r>
          </w:p>
        </w:tc>
        <w:tc>
          <w:tcPr>
            <w:tcW w:w="862" w:type="dxa"/>
          </w:tcPr>
          <w:p>
            <w:pPr>
              <w:pStyle w:val="0"/>
            </w:pPr>
            <w:r>
              <w:rPr>
                <w:sz w:val="24"/>
              </w:rPr>
            </w:r>
          </w:p>
        </w:tc>
        <w:tc>
          <w:tcPr>
            <w:tcW w:w="862" w:type="dxa"/>
          </w:tcPr>
          <w:p>
            <w:pPr>
              <w:pStyle w:val="0"/>
            </w:pPr>
            <w:r>
              <w:rPr>
                <w:sz w:val="24"/>
              </w:rPr>
            </w:r>
          </w:p>
        </w:tc>
        <w:tc>
          <w:tcPr>
            <w:tcW w:w="862" w:type="dxa"/>
          </w:tcPr>
          <w:p>
            <w:pPr>
              <w:pStyle w:val="0"/>
            </w:pPr>
            <w:r>
              <w:rPr>
                <w:sz w:val="24"/>
              </w:rPr>
            </w:r>
          </w:p>
        </w:tc>
        <w:tc>
          <w:tcPr>
            <w:tcW w:w="862" w:type="dxa"/>
          </w:tcPr>
          <w:p>
            <w:pPr>
              <w:pStyle w:val="0"/>
            </w:pPr>
            <w:r>
              <w:rPr>
                <w:sz w:val="24"/>
              </w:rPr>
            </w:r>
          </w:p>
        </w:tc>
        <w:tc>
          <w:tcPr>
            <w:tcW w:w="862" w:type="dxa"/>
          </w:tcPr>
          <w:p>
            <w:pPr>
              <w:pStyle w:val="0"/>
            </w:pPr>
            <w:r>
              <w:rPr>
                <w:sz w:val="24"/>
              </w:rPr>
            </w:r>
          </w:p>
        </w:tc>
        <w:tc>
          <w:tcPr>
            <w:tcW w:w="862" w:type="dxa"/>
          </w:tcPr>
          <w:p>
            <w:pPr>
              <w:pStyle w:val="0"/>
            </w:pPr>
            <w:r>
              <w:rPr>
                <w:sz w:val="24"/>
              </w:rPr>
            </w:r>
          </w:p>
        </w:tc>
        <w:tc>
          <w:tcPr>
            <w:tcW w:w="862" w:type="dxa"/>
          </w:tcPr>
          <w:p>
            <w:pPr>
              <w:pStyle w:val="0"/>
            </w:pPr>
            <w:r>
              <w:rPr>
                <w:sz w:val="24"/>
              </w:rPr>
            </w:r>
          </w:p>
        </w:tc>
        <w:tc>
          <w:tcPr>
            <w:tcW w:w="862" w:type="dxa"/>
          </w:tcPr>
          <w:p>
            <w:pPr>
              <w:pStyle w:val="0"/>
            </w:pPr>
            <w:r>
              <w:rPr>
                <w:sz w:val="24"/>
              </w:rPr>
            </w:r>
          </w:p>
        </w:tc>
        <w:tc>
          <w:tcPr>
            <w:tcW w:w="862" w:type="dxa"/>
          </w:tcPr>
          <w:p>
            <w:pPr>
              <w:pStyle w:val="0"/>
            </w:pPr>
            <w:r>
              <w:rPr>
                <w:sz w:val="24"/>
              </w:rPr>
            </w:r>
          </w:p>
        </w:tc>
      </w:tr>
    </w:tbl>
    <w:p>
      <w:pPr>
        <w:sectPr>
          <w:headerReference w:type="default" r:id="rId306"/>
          <w:headerReference w:type="first" r:id="rId306"/>
          <w:footerReference w:type="default" r:id="rId307"/>
          <w:footerReference w:type="first" r:id="rId307"/>
          <w:pgSz w:w="16838" w:h="11906" w:orient="landscape"/>
          <w:pgMar w:top="1133" w:right="1440" w:bottom="566" w:left="1440" w:header="0" w:footer="0" w:gutter="0"/>
          <w:titlePg/>
        </w:sectPr>
      </w:pPr>
    </w:p>
    <w:p>
      <w:pPr>
        <w:pStyle w:val="0"/>
        <w:jc w:val="both"/>
      </w:pPr>
      <w:r>
        <w:rPr>
          <w:sz w:val="24"/>
        </w:rPr>
      </w:r>
    </w:p>
    <w:tbl>
      <w:tblPr>
        <w:tblInd w:w="0" w:type="dxa"/>
        <w:tblLayout w:type="fixed"/>
        <w:tblBorders>
          <w:left w:val="single" w:sz="4"/>
          <w:bottom w:val="single" w:sz="4"/>
          <w:right w:val="single" w:sz="4"/>
          <w:insideV w:val="single" w:sz="4"/>
          <w:insideH w:val="single" w:sz="4"/>
        </w:tblBorders>
        <w:tblCellMar>
          <w:top w:w="102" w:type="dxa"/>
          <w:left w:w="62" w:type="dxa"/>
          <w:bottom w:w="102" w:type="dxa"/>
          <w:right w:w="62" w:type="dxa"/>
        </w:tblCellMar>
      </w:tblPr>
      <w:tblGrid>
        <w:gridCol w:w="964"/>
        <w:gridCol w:w="566"/>
        <w:gridCol w:w="963"/>
        <w:gridCol w:w="964"/>
        <w:gridCol w:w="907"/>
        <w:gridCol w:w="964"/>
        <w:gridCol w:w="907"/>
        <w:gridCol w:w="1020"/>
        <w:gridCol w:w="854"/>
        <w:gridCol w:w="964"/>
      </w:tblGrid>
      <w:tr>
        <w:tblPrEx>
          <w:tblBorders>
            <w:left w:val="nil"/>
            <w:right w:val="nil"/>
          </w:tblBorders>
        </w:tblPrEx>
        <w:tc>
          <w:tcPr>
            <w:gridSpan w:val="10"/>
            <w:tcW w:w="9073" w:type="dxa"/>
            <w:tcBorders>
              <w:top w:val="nil"/>
              <w:left w:val="nil"/>
              <w:right w:val="nil"/>
            </w:tcBorders>
          </w:tcPr>
          <w:p>
            <w:pPr>
              <w:pStyle w:val="0"/>
              <w:outlineLvl w:val="3"/>
              <w:ind w:left="283"/>
            </w:pPr>
            <w:r>
              <w:rPr>
                <w:sz w:val="24"/>
              </w:rPr>
              <w:t xml:space="preserve">Первичная медико-санитарная помощь. Дневной стационар</w:t>
            </w:r>
          </w:p>
        </w:tc>
      </w:tr>
      <w:tr>
        <w:tc>
          <w:tcPr>
            <w:tcW w:w="964" w:type="dxa"/>
          </w:tcPr>
          <w:p>
            <w:pPr>
              <w:pStyle w:val="0"/>
              <w:jc w:val="center"/>
            </w:pPr>
            <w:r>
              <w:rPr>
                <w:sz w:val="24"/>
              </w:rPr>
              <w:t xml:space="preserve">Год</w:t>
            </w:r>
          </w:p>
        </w:tc>
        <w:tc>
          <w:tcPr>
            <w:tcW w:w="566" w:type="dxa"/>
          </w:tcPr>
          <w:p>
            <w:pPr>
              <w:pStyle w:val="0"/>
              <w:jc w:val="center"/>
            </w:pPr>
            <w:r>
              <w:rPr>
                <w:sz w:val="24"/>
              </w:rPr>
              <w:t xml:space="preserve">N пп</w:t>
            </w:r>
          </w:p>
        </w:tc>
        <w:tc>
          <w:tcPr>
            <w:tcW w:w="963" w:type="dxa"/>
          </w:tcPr>
          <w:p>
            <w:pPr>
              <w:pStyle w:val="0"/>
              <w:jc w:val="center"/>
            </w:pPr>
            <w:r>
              <w:rPr>
                <w:sz w:val="24"/>
              </w:rPr>
              <w:t xml:space="preserve">Профиль медицинской помощи</w:t>
            </w:r>
          </w:p>
          <w:p>
            <w:pPr>
              <w:pStyle w:val="0"/>
              <w:jc w:val="center"/>
            </w:pPr>
            <w:r>
              <w:rPr>
                <w:sz w:val="24"/>
              </w:rPr>
              <w:t xml:space="preserve">(Код)</w:t>
            </w:r>
          </w:p>
        </w:tc>
        <w:tc>
          <w:tcPr>
            <w:tcW w:w="964" w:type="dxa"/>
          </w:tcPr>
          <w:p>
            <w:pPr>
              <w:pStyle w:val="0"/>
              <w:jc w:val="center"/>
            </w:pPr>
            <w:r>
              <w:rPr>
                <w:sz w:val="24"/>
              </w:rPr>
              <w:t xml:space="preserve">Профиль медицинской помощи</w:t>
            </w:r>
          </w:p>
          <w:p>
            <w:pPr>
              <w:pStyle w:val="0"/>
              <w:jc w:val="center"/>
            </w:pPr>
            <w:r>
              <w:rPr>
                <w:sz w:val="24"/>
              </w:rPr>
              <w:t xml:space="preserve">(Наименование)</w:t>
            </w:r>
          </w:p>
        </w:tc>
        <w:tc>
          <w:tcPr>
            <w:tcW w:w="907" w:type="dxa"/>
          </w:tcPr>
          <w:p>
            <w:pPr>
              <w:pStyle w:val="0"/>
              <w:jc w:val="center"/>
            </w:pPr>
            <w:r>
              <w:rPr>
                <w:sz w:val="24"/>
              </w:rPr>
              <w:t xml:space="preserve">Клинико-профильная группа (КПГ)</w:t>
            </w:r>
          </w:p>
          <w:p>
            <w:pPr>
              <w:pStyle w:val="0"/>
              <w:jc w:val="center"/>
            </w:pPr>
            <w:r>
              <w:rPr>
                <w:sz w:val="24"/>
              </w:rPr>
              <w:t xml:space="preserve">(Код)</w:t>
            </w:r>
          </w:p>
        </w:tc>
        <w:tc>
          <w:tcPr>
            <w:tcW w:w="964" w:type="dxa"/>
          </w:tcPr>
          <w:p>
            <w:pPr>
              <w:pStyle w:val="0"/>
              <w:jc w:val="center"/>
            </w:pPr>
            <w:r>
              <w:rPr>
                <w:sz w:val="24"/>
              </w:rPr>
              <w:t xml:space="preserve">Клинико-профильная группа (КПГ)</w:t>
            </w:r>
          </w:p>
          <w:p>
            <w:pPr>
              <w:pStyle w:val="0"/>
              <w:jc w:val="center"/>
            </w:pPr>
            <w:r>
              <w:rPr>
                <w:sz w:val="24"/>
              </w:rPr>
              <w:t xml:space="preserve">(Наименование)</w:t>
            </w:r>
          </w:p>
        </w:tc>
        <w:tc>
          <w:tcPr>
            <w:tcW w:w="907" w:type="dxa"/>
          </w:tcPr>
          <w:p>
            <w:pPr>
              <w:pStyle w:val="0"/>
              <w:jc w:val="center"/>
            </w:pPr>
            <w:r>
              <w:rPr>
                <w:sz w:val="24"/>
              </w:rPr>
              <w:t xml:space="preserve">Клинико-статистическая группа (КСГ)</w:t>
            </w:r>
          </w:p>
          <w:p>
            <w:pPr>
              <w:pStyle w:val="0"/>
              <w:jc w:val="center"/>
            </w:pPr>
            <w:r>
              <w:rPr>
                <w:sz w:val="24"/>
              </w:rPr>
              <w:t xml:space="preserve">(Код)</w:t>
            </w:r>
          </w:p>
        </w:tc>
        <w:tc>
          <w:tcPr>
            <w:tcW w:w="1020" w:type="dxa"/>
          </w:tcPr>
          <w:p>
            <w:pPr>
              <w:pStyle w:val="0"/>
              <w:jc w:val="center"/>
            </w:pPr>
            <w:r>
              <w:rPr>
                <w:sz w:val="24"/>
              </w:rPr>
              <w:t xml:space="preserve">Клинико-статистическая группа (КСГ)</w:t>
            </w:r>
          </w:p>
          <w:p>
            <w:pPr>
              <w:pStyle w:val="0"/>
              <w:jc w:val="center"/>
            </w:pPr>
            <w:r>
              <w:rPr>
                <w:sz w:val="24"/>
              </w:rPr>
              <w:t xml:space="preserve">(Наименование)</w:t>
            </w:r>
          </w:p>
        </w:tc>
        <w:tc>
          <w:tcPr>
            <w:tcW w:w="854" w:type="dxa"/>
          </w:tcPr>
          <w:p>
            <w:pPr>
              <w:pStyle w:val="0"/>
              <w:jc w:val="center"/>
            </w:pPr>
            <w:r>
              <w:rPr>
                <w:sz w:val="24"/>
              </w:rPr>
              <w:t xml:space="preserve">Объем медицинской помощи (случай)</w:t>
            </w:r>
          </w:p>
        </w:tc>
        <w:tc>
          <w:tcPr>
            <w:tcW w:w="964" w:type="dxa"/>
          </w:tcPr>
          <w:p>
            <w:pPr>
              <w:pStyle w:val="0"/>
              <w:jc w:val="center"/>
            </w:pPr>
            <w:r>
              <w:rPr>
                <w:sz w:val="24"/>
              </w:rPr>
              <w:t xml:space="preserve">Объем финансового обеспечения медицинской помощи (руб.)</w:t>
            </w:r>
          </w:p>
        </w:tc>
      </w:tr>
      <w:tr>
        <w:tc>
          <w:tcPr>
            <w:tcW w:w="964" w:type="dxa"/>
            <w:vAlign w:val="center"/>
            <w:vMerge w:val="restart"/>
          </w:tcPr>
          <w:p>
            <w:pPr>
              <w:pStyle w:val="0"/>
              <w:jc w:val="center"/>
            </w:pPr>
            <w:r>
              <w:rPr>
                <w:sz w:val="24"/>
              </w:rPr>
              <w:t xml:space="preserve">Год участия - 3</w:t>
            </w:r>
          </w:p>
        </w:tc>
        <w:tc>
          <w:tcPr>
            <w:tcW w:w="566" w:type="dxa"/>
          </w:tcPr>
          <w:p>
            <w:pPr>
              <w:pStyle w:val="0"/>
            </w:pPr>
            <w:r>
              <w:rPr>
                <w:sz w:val="24"/>
              </w:rPr>
            </w:r>
          </w:p>
        </w:tc>
        <w:tc>
          <w:tcPr>
            <w:tcW w:w="963" w:type="dxa"/>
            <w:vAlign w:val="bottom"/>
          </w:tcPr>
          <w:p>
            <w:pPr>
              <w:pStyle w:val="0"/>
            </w:pPr>
            <w:r>
              <w:rPr>
                <w:sz w:val="24"/>
              </w:rPr>
            </w:r>
          </w:p>
        </w:tc>
        <w:tc>
          <w:tcPr>
            <w:tcW w:w="964" w:type="dxa"/>
          </w:tcPr>
          <w:p>
            <w:pPr>
              <w:pStyle w:val="0"/>
            </w:pPr>
            <w:r>
              <w:rPr>
                <w:sz w:val="24"/>
              </w:rPr>
            </w:r>
          </w:p>
        </w:tc>
        <w:tc>
          <w:tcPr>
            <w:tcW w:w="907" w:type="dxa"/>
          </w:tcPr>
          <w:p>
            <w:pPr>
              <w:pStyle w:val="0"/>
            </w:pPr>
            <w:r>
              <w:rPr>
                <w:sz w:val="24"/>
              </w:rPr>
            </w:r>
          </w:p>
        </w:tc>
        <w:tc>
          <w:tcPr>
            <w:tcW w:w="964" w:type="dxa"/>
          </w:tcPr>
          <w:p>
            <w:pPr>
              <w:pStyle w:val="0"/>
            </w:pPr>
            <w:r>
              <w:rPr>
                <w:sz w:val="24"/>
              </w:rPr>
            </w:r>
          </w:p>
        </w:tc>
        <w:tc>
          <w:tcPr>
            <w:tcW w:w="907" w:type="dxa"/>
          </w:tcPr>
          <w:p>
            <w:pPr>
              <w:pStyle w:val="0"/>
            </w:pPr>
            <w:r>
              <w:rPr>
                <w:sz w:val="24"/>
              </w:rPr>
            </w:r>
          </w:p>
        </w:tc>
        <w:tc>
          <w:tcPr>
            <w:tcW w:w="1020" w:type="dxa"/>
            <w:vAlign w:val="center"/>
          </w:tcPr>
          <w:p>
            <w:pPr>
              <w:pStyle w:val="0"/>
              <w:jc w:val="center"/>
            </w:pPr>
            <w:r>
              <w:rPr>
                <w:sz w:val="24"/>
              </w:rPr>
              <w:t xml:space="preserve">Всего</w:t>
            </w:r>
          </w:p>
        </w:tc>
        <w:tc>
          <w:tcPr>
            <w:tcW w:w="854" w:type="dxa"/>
          </w:tcPr>
          <w:p>
            <w:pPr>
              <w:pStyle w:val="0"/>
            </w:pPr>
            <w:r>
              <w:rPr>
                <w:sz w:val="24"/>
              </w:rPr>
            </w:r>
          </w:p>
        </w:tc>
        <w:tc>
          <w:tcPr>
            <w:tcW w:w="964" w:type="dxa"/>
          </w:tcPr>
          <w:p>
            <w:pPr>
              <w:pStyle w:val="0"/>
            </w:pPr>
            <w:r>
              <w:rPr>
                <w:sz w:val="24"/>
              </w:rPr>
            </w:r>
          </w:p>
        </w:tc>
      </w:tr>
      <w:tr>
        <w:tc>
          <w:tcPr>
            <w:vMerge w:val="continue"/>
          </w:tcPr>
          <w:p/>
        </w:tc>
        <w:tc>
          <w:tcPr>
            <w:tcW w:w="566" w:type="dxa"/>
          </w:tcPr>
          <w:p>
            <w:pPr>
              <w:pStyle w:val="0"/>
            </w:pPr>
            <w:r>
              <w:rPr>
                <w:sz w:val="24"/>
              </w:rPr>
            </w:r>
          </w:p>
        </w:tc>
        <w:tc>
          <w:tcPr>
            <w:tcW w:w="963" w:type="dxa"/>
          </w:tcPr>
          <w:p>
            <w:pPr>
              <w:pStyle w:val="0"/>
            </w:pPr>
            <w:r>
              <w:rPr>
                <w:sz w:val="24"/>
              </w:rPr>
            </w:r>
          </w:p>
        </w:tc>
        <w:tc>
          <w:tcPr>
            <w:tcW w:w="964" w:type="dxa"/>
          </w:tcPr>
          <w:p>
            <w:pPr>
              <w:pStyle w:val="0"/>
            </w:pPr>
            <w:r>
              <w:rPr>
                <w:sz w:val="24"/>
              </w:rPr>
            </w:r>
          </w:p>
        </w:tc>
        <w:tc>
          <w:tcPr>
            <w:tcW w:w="907" w:type="dxa"/>
          </w:tcPr>
          <w:p>
            <w:pPr>
              <w:pStyle w:val="0"/>
            </w:pPr>
            <w:r>
              <w:rPr>
                <w:sz w:val="24"/>
              </w:rPr>
            </w:r>
          </w:p>
        </w:tc>
        <w:tc>
          <w:tcPr>
            <w:tcW w:w="964" w:type="dxa"/>
          </w:tcPr>
          <w:p>
            <w:pPr>
              <w:pStyle w:val="0"/>
            </w:pPr>
            <w:r>
              <w:rPr>
                <w:sz w:val="24"/>
              </w:rPr>
            </w:r>
          </w:p>
        </w:tc>
        <w:tc>
          <w:tcPr>
            <w:tcW w:w="907" w:type="dxa"/>
          </w:tcPr>
          <w:p>
            <w:pPr>
              <w:pStyle w:val="0"/>
            </w:pPr>
            <w:r>
              <w:rPr>
                <w:sz w:val="24"/>
              </w:rPr>
            </w:r>
          </w:p>
        </w:tc>
        <w:tc>
          <w:tcPr>
            <w:tcW w:w="1020" w:type="dxa"/>
            <w:vAlign w:val="center"/>
          </w:tcPr>
          <w:p>
            <w:pPr>
              <w:pStyle w:val="0"/>
            </w:pPr>
            <w:r>
              <w:rPr>
                <w:sz w:val="24"/>
              </w:rPr>
            </w:r>
          </w:p>
        </w:tc>
        <w:tc>
          <w:tcPr>
            <w:tcW w:w="854" w:type="dxa"/>
          </w:tcPr>
          <w:p>
            <w:pPr>
              <w:pStyle w:val="0"/>
            </w:pPr>
            <w:r>
              <w:rPr>
                <w:sz w:val="24"/>
              </w:rPr>
            </w:r>
          </w:p>
        </w:tc>
        <w:tc>
          <w:tcPr>
            <w:tcW w:w="964" w:type="dxa"/>
          </w:tcPr>
          <w:p>
            <w:pPr>
              <w:pStyle w:val="0"/>
            </w:pPr>
            <w:r>
              <w:rPr>
                <w:sz w:val="24"/>
              </w:rPr>
            </w:r>
          </w:p>
        </w:tc>
      </w:tr>
      <w:tr>
        <w:tc>
          <w:tcPr>
            <w:tcW w:w="964" w:type="dxa"/>
            <w:vAlign w:val="center"/>
            <w:vMerge w:val="restart"/>
          </w:tcPr>
          <w:p>
            <w:pPr>
              <w:pStyle w:val="0"/>
              <w:jc w:val="center"/>
            </w:pPr>
            <w:r>
              <w:rPr>
                <w:sz w:val="24"/>
              </w:rPr>
              <w:t xml:space="preserve">Год участия - 2</w:t>
            </w:r>
          </w:p>
        </w:tc>
        <w:tc>
          <w:tcPr>
            <w:tcW w:w="566" w:type="dxa"/>
          </w:tcPr>
          <w:p>
            <w:pPr>
              <w:pStyle w:val="0"/>
            </w:pPr>
            <w:r>
              <w:rPr>
                <w:sz w:val="24"/>
              </w:rPr>
            </w:r>
          </w:p>
        </w:tc>
        <w:tc>
          <w:tcPr>
            <w:tcW w:w="963" w:type="dxa"/>
          </w:tcPr>
          <w:p>
            <w:pPr>
              <w:pStyle w:val="0"/>
            </w:pPr>
            <w:r>
              <w:rPr>
                <w:sz w:val="24"/>
              </w:rPr>
            </w:r>
          </w:p>
        </w:tc>
        <w:tc>
          <w:tcPr>
            <w:tcW w:w="964" w:type="dxa"/>
          </w:tcPr>
          <w:p>
            <w:pPr>
              <w:pStyle w:val="0"/>
            </w:pPr>
            <w:r>
              <w:rPr>
                <w:sz w:val="24"/>
              </w:rPr>
            </w:r>
          </w:p>
        </w:tc>
        <w:tc>
          <w:tcPr>
            <w:tcW w:w="907" w:type="dxa"/>
          </w:tcPr>
          <w:p>
            <w:pPr>
              <w:pStyle w:val="0"/>
            </w:pPr>
            <w:r>
              <w:rPr>
                <w:sz w:val="24"/>
              </w:rPr>
            </w:r>
          </w:p>
        </w:tc>
        <w:tc>
          <w:tcPr>
            <w:tcW w:w="964" w:type="dxa"/>
          </w:tcPr>
          <w:p>
            <w:pPr>
              <w:pStyle w:val="0"/>
            </w:pPr>
            <w:r>
              <w:rPr>
                <w:sz w:val="24"/>
              </w:rPr>
            </w:r>
          </w:p>
        </w:tc>
        <w:tc>
          <w:tcPr>
            <w:tcW w:w="907" w:type="dxa"/>
          </w:tcPr>
          <w:p>
            <w:pPr>
              <w:pStyle w:val="0"/>
            </w:pPr>
            <w:r>
              <w:rPr>
                <w:sz w:val="24"/>
              </w:rPr>
            </w:r>
          </w:p>
        </w:tc>
        <w:tc>
          <w:tcPr>
            <w:tcW w:w="1020" w:type="dxa"/>
            <w:vAlign w:val="center"/>
          </w:tcPr>
          <w:p>
            <w:pPr>
              <w:pStyle w:val="0"/>
              <w:jc w:val="center"/>
            </w:pPr>
            <w:r>
              <w:rPr>
                <w:sz w:val="24"/>
              </w:rPr>
              <w:t xml:space="preserve">Всего</w:t>
            </w:r>
          </w:p>
        </w:tc>
        <w:tc>
          <w:tcPr>
            <w:tcW w:w="854" w:type="dxa"/>
          </w:tcPr>
          <w:p>
            <w:pPr>
              <w:pStyle w:val="0"/>
            </w:pPr>
            <w:r>
              <w:rPr>
                <w:sz w:val="24"/>
              </w:rPr>
            </w:r>
          </w:p>
        </w:tc>
        <w:tc>
          <w:tcPr>
            <w:tcW w:w="964" w:type="dxa"/>
          </w:tcPr>
          <w:p>
            <w:pPr>
              <w:pStyle w:val="0"/>
            </w:pPr>
            <w:r>
              <w:rPr>
                <w:sz w:val="24"/>
              </w:rPr>
            </w:r>
          </w:p>
        </w:tc>
      </w:tr>
      <w:tr>
        <w:tc>
          <w:tcPr>
            <w:vMerge w:val="continue"/>
          </w:tcPr>
          <w:p/>
        </w:tc>
        <w:tc>
          <w:tcPr>
            <w:tcW w:w="566" w:type="dxa"/>
          </w:tcPr>
          <w:p>
            <w:pPr>
              <w:pStyle w:val="0"/>
            </w:pPr>
            <w:r>
              <w:rPr>
                <w:sz w:val="24"/>
              </w:rPr>
            </w:r>
          </w:p>
        </w:tc>
        <w:tc>
          <w:tcPr>
            <w:tcW w:w="963" w:type="dxa"/>
          </w:tcPr>
          <w:p>
            <w:pPr>
              <w:pStyle w:val="0"/>
            </w:pPr>
            <w:r>
              <w:rPr>
                <w:sz w:val="24"/>
              </w:rPr>
            </w:r>
          </w:p>
        </w:tc>
        <w:tc>
          <w:tcPr>
            <w:tcW w:w="964" w:type="dxa"/>
          </w:tcPr>
          <w:p>
            <w:pPr>
              <w:pStyle w:val="0"/>
            </w:pPr>
            <w:r>
              <w:rPr>
                <w:sz w:val="24"/>
              </w:rPr>
            </w:r>
          </w:p>
        </w:tc>
        <w:tc>
          <w:tcPr>
            <w:tcW w:w="907" w:type="dxa"/>
          </w:tcPr>
          <w:p>
            <w:pPr>
              <w:pStyle w:val="0"/>
            </w:pPr>
            <w:r>
              <w:rPr>
                <w:sz w:val="24"/>
              </w:rPr>
            </w:r>
          </w:p>
        </w:tc>
        <w:tc>
          <w:tcPr>
            <w:tcW w:w="964" w:type="dxa"/>
          </w:tcPr>
          <w:p>
            <w:pPr>
              <w:pStyle w:val="0"/>
            </w:pPr>
            <w:r>
              <w:rPr>
                <w:sz w:val="24"/>
              </w:rPr>
            </w:r>
          </w:p>
        </w:tc>
        <w:tc>
          <w:tcPr>
            <w:tcW w:w="907" w:type="dxa"/>
          </w:tcPr>
          <w:p>
            <w:pPr>
              <w:pStyle w:val="0"/>
            </w:pPr>
            <w:r>
              <w:rPr>
                <w:sz w:val="24"/>
              </w:rPr>
            </w:r>
          </w:p>
        </w:tc>
        <w:tc>
          <w:tcPr>
            <w:tcW w:w="1020" w:type="dxa"/>
            <w:vAlign w:val="center"/>
          </w:tcPr>
          <w:p>
            <w:pPr>
              <w:pStyle w:val="0"/>
            </w:pPr>
            <w:r>
              <w:rPr>
                <w:sz w:val="24"/>
              </w:rPr>
            </w:r>
          </w:p>
        </w:tc>
        <w:tc>
          <w:tcPr>
            <w:tcW w:w="854" w:type="dxa"/>
          </w:tcPr>
          <w:p>
            <w:pPr>
              <w:pStyle w:val="0"/>
            </w:pPr>
            <w:r>
              <w:rPr>
                <w:sz w:val="24"/>
              </w:rPr>
            </w:r>
          </w:p>
        </w:tc>
        <w:tc>
          <w:tcPr>
            <w:tcW w:w="964" w:type="dxa"/>
          </w:tcPr>
          <w:p>
            <w:pPr>
              <w:pStyle w:val="0"/>
            </w:pPr>
            <w:r>
              <w:rPr>
                <w:sz w:val="24"/>
              </w:rPr>
            </w:r>
          </w:p>
        </w:tc>
      </w:tr>
      <w:tr>
        <w:tc>
          <w:tcPr>
            <w:tcW w:w="964" w:type="dxa"/>
            <w:vAlign w:val="center"/>
            <w:vMerge w:val="restart"/>
          </w:tcPr>
          <w:p>
            <w:pPr>
              <w:pStyle w:val="0"/>
              <w:jc w:val="center"/>
            </w:pPr>
            <w:r>
              <w:rPr>
                <w:sz w:val="24"/>
              </w:rPr>
              <w:t xml:space="preserve">Год участия - 1</w:t>
            </w:r>
          </w:p>
        </w:tc>
        <w:tc>
          <w:tcPr>
            <w:tcW w:w="566" w:type="dxa"/>
          </w:tcPr>
          <w:p>
            <w:pPr>
              <w:pStyle w:val="0"/>
            </w:pPr>
            <w:r>
              <w:rPr>
                <w:sz w:val="24"/>
              </w:rPr>
            </w:r>
          </w:p>
        </w:tc>
        <w:tc>
          <w:tcPr>
            <w:tcW w:w="963" w:type="dxa"/>
          </w:tcPr>
          <w:p>
            <w:pPr>
              <w:pStyle w:val="0"/>
            </w:pPr>
            <w:r>
              <w:rPr>
                <w:sz w:val="24"/>
              </w:rPr>
            </w:r>
          </w:p>
        </w:tc>
        <w:tc>
          <w:tcPr>
            <w:tcW w:w="964" w:type="dxa"/>
          </w:tcPr>
          <w:p>
            <w:pPr>
              <w:pStyle w:val="0"/>
            </w:pPr>
            <w:r>
              <w:rPr>
                <w:sz w:val="24"/>
              </w:rPr>
            </w:r>
          </w:p>
        </w:tc>
        <w:tc>
          <w:tcPr>
            <w:tcW w:w="907" w:type="dxa"/>
          </w:tcPr>
          <w:p>
            <w:pPr>
              <w:pStyle w:val="0"/>
            </w:pPr>
            <w:r>
              <w:rPr>
                <w:sz w:val="24"/>
              </w:rPr>
            </w:r>
          </w:p>
        </w:tc>
        <w:tc>
          <w:tcPr>
            <w:tcW w:w="964" w:type="dxa"/>
          </w:tcPr>
          <w:p>
            <w:pPr>
              <w:pStyle w:val="0"/>
            </w:pPr>
            <w:r>
              <w:rPr>
                <w:sz w:val="24"/>
              </w:rPr>
            </w:r>
          </w:p>
        </w:tc>
        <w:tc>
          <w:tcPr>
            <w:tcW w:w="907" w:type="dxa"/>
          </w:tcPr>
          <w:p>
            <w:pPr>
              <w:pStyle w:val="0"/>
            </w:pPr>
            <w:r>
              <w:rPr>
                <w:sz w:val="24"/>
              </w:rPr>
            </w:r>
          </w:p>
        </w:tc>
        <w:tc>
          <w:tcPr>
            <w:tcW w:w="1020" w:type="dxa"/>
            <w:vAlign w:val="center"/>
          </w:tcPr>
          <w:p>
            <w:pPr>
              <w:pStyle w:val="0"/>
              <w:jc w:val="center"/>
            </w:pPr>
            <w:r>
              <w:rPr>
                <w:sz w:val="24"/>
              </w:rPr>
              <w:t xml:space="preserve">Всего</w:t>
            </w:r>
          </w:p>
        </w:tc>
        <w:tc>
          <w:tcPr>
            <w:tcW w:w="854" w:type="dxa"/>
          </w:tcPr>
          <w:p>
            <w:pPr>
              <w:pStyle w:val="0"/>
            </w:pPr>
            <w:r>
              <w:rPr>
                <w:sz w:val="24"/>
              </w:rPr>
            </w:r>
          </w:p>
        </w:tc>
        <w:tc>
          <w:tcPr>
            <w:tcW w:w="964" w:type="dxa"/>
          </w:tcPr>
          <w:p>
            <w:pPr>
              <w:pStyle w:val="0"/>
            </w:pPr>
            <w:r>
              <w:rPr>
                <w:sz w:val="24"/>
              </w:rPr>
            </w:r>
          </w:p>
        </w:tc>
      </w:tr>
      <w:tr>
        <w:tc>
          <w:tcPr>
            <w:vMerge w:val="continue"/>
          </w:tcPr>
          <w:p/>
        </w:tc>
        <w:tc>
          <w:tcPr>
            <w:tcW w:w="566" w:type="dxa"/>
          </w:tcPr>
          <w:p>
            <w:pPr>
              <w:pStyle w:val="0"/>
            </w:pPr>
            <w:r>
              <w:rPr>
                <w:sz w:val="24"/>
              </w:rPr>
            </w:r>
          </w:p>
        </w:tc>
        <w:tc>
          <w:tcPr>
            <w:tcW w:w="963" w:type="dxa"/>
          </w:tcPr>
          <w:p>
            <w:pPr>
              <w:pStyle w:val="0"/>
            </w:pPr>
            <w:r>
              <w:rPr>
                <w:sz w:val="24"/>
              </w:rPr>
            </w:r>
          </w:p>
        </w:tc>
        <w:tc>
          <w:tcPr>
            <w:tcW w:w="964" w:type="dxa"/>
          </w:tcPr>
          <w:p>
            <w:pPr>
              <w:pStyle w:val="0"/>
            </w:pPr>
            <w:r>
              <w:rPr>
                <w:sz w:val="24"/>
              </w:rPr>
            </w:r>
          </w:p>
        </w:tc>
        <w:tc>
          <w:tcPr>
            <w:tcW w:w="907" w:type="dxa"/>
          </w:tcPr>
          <w:p>
            <w:pPr>
              <w:pStyle w:val="0"/>
            </w:pPr>
            <w:r>
              <w:rPr>
                <w:sz w:val="24"/>
              </w:rPr>
            </w:r>
          </w:p>
        </w:tc>
        <w:tc>
          <w:tcPr>
            <w:tcW w:w="964" w:type="dxa"/>
          </w:tcPr>
          <w:p>
            <w:pPr>
              <w:pStyle w:val="0"/>
            </w:pPr>
            <w:r>
              <w:rPr>
                <w:sz w:val="24"/>
              </w:rPr>
            </w:r>
          </w:p>
        </w:tc>
        <w:tc>
          <w:tcPr>
            <w:tcW w:w="907" w:type="dxa"/>
          </w:tcPr>
          <w:p>
            <w:pPr>
              <w:pStyle w:val="0"/>
            </w:pPr>
            <w:r>
              <w:rPr>
                <w:sz w:val="24"/>
              </w:rPr>
            </w:r>
          </w:p>
        </w:tc>
        <w:tc>
          <w:tcPr>
            <w:tcW w:w="1020" w:type="dxa"/>
            <w:vAlign w:val="center"/>
          </w:tcPr>
          <w:p>
            <w:pPr>
              <w:pStyle w:val="0"/>
            </w:pPr>
            <w:r>
              <w:rPr>
                <w:sz w:val="24"/>
              </w:rPr>
            </w:r>
          </w:p>
        </w:tc>
        <w:tc>
          <w:tcPr>
            <w:tcW w:w="854" w:type="dxa"/>
          </w:tcPr>
          <w:p>
            <w:pPr>
              <w:pStyle w:val="0"/>
            </w:pPr>
            <w:r>
              <w:rPr>
                <w:sz w:val="24"/>
              </w:rPr>
            </w:r>
          </w:p>
        </w:tc>
        <w:tc>
          <w:tcPr>
            <w:tcW w:w="964" w:type="dxa"/>
          </w:tcPr>
          <w:p>
            <w:pPr>
              <w:pStyle w:val="0"/>
            </w:pPr>
            <w:r>
              <w:rPr>
                <w:sz w:val="24"/>
              </w:rPr>
            </w:r>
          </w:p>
        </w:tc>
      </w:tr>
    </w:tbl>
    <w:p>
      <w:pPr>
        <w:pStyle w:val="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964"/>
        <w:gridCol w:w="566"/>
        <w:gridCol w:w="3259"/>
        <w:gridCol w:w="1134"/>
        <w:gridCol w:w="907"/>
        <w:gridCol w:w="737"/>
        <w:gridCol w:w="1531"/>
      </w:tblGrid>
      <w:tr>
        <w:tblPrEx>
          <w:tblBorders>
            <w:left w:val="nil"/>
            <w:right w:val="nil"/>
          </w:tblBorders>
        </w:tblPrEx>
        <w:tc>
          <w:tcPr>
            <w:gridSpan w:val="7"/>
            <w:tcW w:w="9098" w:type="dxa"/>
            <w:tcBorders>
              <w:left w:val="nil"/>
              <w:right w:val="nil"/>
            </w:tcBorders>
          </w:tcPr>
          <w:p>
            <w:pPr>
              <w:pStyle w:val="0"/>
              <w:outlineLvl w:val="3"/>
              <w:ind w:left="283"/>
            </w:pPr>
            <w:r>
              <w:rPr>
                <w:sz w:val="24"/>
              </w:rPr>
              <w:t xml:space="preserve">Скорая медицинская помощь</w:t>
            </w:r>
          </w:p>
        </w:tc>
      </w:tr>
      <w:tr>
        <w:tc>
          <w:tcPr>
            <w:tcW w:w="964" w:type="dxa"/>
          </w:tcPr>
          <w:p>
            <w:pPr>
              <w:pStyle w:val="0"/>
              <w:jc w:val="center"/>
            </w:pPr>
            <w:r>
              <w:rPr>
                <w:sz w:val="24"/>
              </w:rPr>
              <w:t xml:space="preserve">Год</w:t>
            </w:r>
          </w:p>
        </w:tc>
        <w:tc>
          <w:tcPr>
            <w:tcW w:w="566" w:type="dxa"/>
          </w:tcPr>
          <w:p>
            <w:pPr>
              <w:pStyle w:val="0"/>
              <w:jc w:val="center"/>
            </w:pPr>
            <w:r>
              <w:rPr>
                <w:sz w:val="24"/>
              </w:rPr>
              <w:t xml:space="preserve">N пп</w:t>
            </w:r>
          </w:p>
        </w:tc>
        <w:tc>
          <w:tcPr>
            <w:tcW w:w="3259" w:type="dxa"/>
          </w:tcPr>
          <w:p>
            <w:pPr>
              <w:pStyle w:val="0"/>
              <w:jc w:val="center"/>
            </w:pPr>
            <w:r>
              <w:rPr>
                <w:sz w:val="24"/>
              </w:rPr>
              <w:t xml:space="preserve">Наименование показателя</w:t>
            </w:r>
          </w:p>
        </w:tc>
        <w:tc>
          <w:tcPr>
            <w:tcW w:w="1134" w:type="dxa"/>
          </w:tcPr>
          <w:p>
            <w:pPr>
              <w:pStyle w:val="0"/>
              <w:jc w:val="center"/>
            </w:pPr>
            <w:r>
              <w:rPr>
                <w:sz w:val="24"/>
              </w:rPr>
              <w:t xml:space="preserve">Объем медицинской помощи, всего</w:t>
            </w:r>
          </w:p>
        </w:tc>
        <w:tc>
          <w:tcPr>
            <w:tcW w:w="907" w:type="dxa"/>
          </w:tcPr>
          <w:p>
            <w:pPr>
              <w:pStyle w:val="0"/>
              <w:jc w:val="center"/>
            </w:pPr>
            <w:r>
              <w:rPr>
                <w:sz w:val="24"/>
              </w:rPr>
              <w:t xml:space="preserve">Взрослые</w:t>
            </w:r>
          </w:p>
        </w:tc>
        <w:tc>
          <w:tcPr>
            <w:tcW w:w="737" w:type="dxa"/>
          </w:tcPr>
          <w:p>
            <w:pPr>
              <w:pStyle w:val="0"/>
              <w:jc w:val="center"/>
            </w:pPr>
            <w:r>
              <w:rPr>
                <w:sz w:val="24"/>
              </w:rPr>
              <w:t xml:space="preserve">Дети</w:t>
            </w:r>
          </w:p>
        </w:tc>
        <w:tc>
          <w:tcPr>
            <w:tcW w:w="1531" w:type="dxa"/>
          </w:tcPr>
          <w:p>
            <w:pPr>
              <w:pStyle w:val="0"/>
              <w:jc w:val="center"/>
            </w:pPr>
            <w:r>
              <w:rPr>
                <w:sz w:val="24"/>
              </w:rPr>
              <w:t xml:space="preserve">Объем финансового обеспечения медицинской помощи (руб.)</w:t>
            </w:r>
          </w:p>
        </w:tc>
      </w:tr>
      <w:tr>
        <w:tc>
          <w:tcPr>
            <w:tcW w:w="964" w:type="dxa"/>
            <w:vAlign w:val="center"/>
            <w:vMerge w:val="restart"/>
          </w:tcPr>
          <w:p>
            <w:pPr>
              <w:pStyle w:val="0"/>
              <w:jc w:val="center"/>
            </w:pPr>
            <w:r>
              <w:rPr>
                <w:sz w:val="24"/>
              </w:rPr>
              <w:t xml:space="preserve">Год участия - 3</w:t>
            </w:r>
          </w:p>
        </w:tc>
        <w:tc>
          <w:tcPr>
            <w:tcW w:w="566" w:type="dxa"/>
          </w:tcPr>
          <w:p>
            <w:pPr>
              <w:pStyle w:val="0"/>
            </w:pPr>
            <w:r>
              <w:rPr>
                <w:sz w:val="24"/>
              </w:rPr>
            </w:r>
          </w:p>
        </w:tc>
        <w:tc>
          <w:tcPr>
            <w:tcW w:w="3259" w:type="dxa"/>
            <w:vAlign w:val="center"/>
          </w:tcPr>
          <w:p>
            <w:pPr>
              <w:pStyle w:val="0"/>
              <w:jc w:val="center"/>
            </w:pPr>
            <w:r>
              <w:rPr>
                <w:sz w:val="24"/>
              </w:rPr>
              <w:t xml:space="preserve">Всего</w:t>
            </w:r>
          </w:p>
        </w:tc>
        <w:tc>
          <w:tcPr>
            <w:tcW w:w="1134" w:type="dxa"/>
          </w:tcPr>
          <w:p>
            <w:pPr>
              <w:pStyle w:val="0"/>
            </w:pPr>
            <w:r>
              <w:rPr>
                <w:sz w:val="24"/>
              </w:rPr>
            </w:r>
          </w:p>
        </w:tc>
        <w:tc>
          <w:tcPr>
            <w:tcW w:w="907" w:type="dxa"/>
          </w:tcPr>
          <w:p>
            <w:pPr>
              <w:pStyle w:val="0"/>
            </w:pPr>
            <w:r>
              <w:rPr>
                <w:sz w:val="24"/>
              </w:rPr>
            </w:r>
          </w:p>
        </w:tc>
        <w:tc>
          <w:tcPr>
            <w:tcW w:w="737" w:type="dxa"/>
          </w:tcPr>
          <w:p>
            <w:pPr>
              <w:pStyle w:val="0"/>
            </w:pPr>
            <w:r>
              <w:rPr>
                <w:sz w:val="24"/>
              </w:rPr>
            </w:r>
          </w:p>
        </w:tc>
        <w:tc>
          <w:tcPr>
            <w:tcW w:w="1531" w:type="dxa"/>
          </w:tcPr>
          <w:p>
            <w:pPr>
              <w:pStyle w:val="0"/>
            </w:pPr>
            <w:r>
              <w:rPr>
                <w:sz w:val="24"/>
              </w:rPr>
            </w:r>
          </w:p>
        </w:tc>
      </w:tr>
      <w:tr>
        <w:tc>
          <w:tcPr>
            <w:vMerge w:val="continue"/>
          </w:tcPr>
          <w:p/>
        </w:tc>
        <w:tc>
          <w:tcPr>
            <w:tcW w:w="566" w:type="dxa"/>
          </w:tcPr>
          <w:p>
            <w:pPr>
              <w:pStyle w:val="0"/>
            </w:pPr>
            <w:r>
              <w:rPr>
                <w:sz w:val="24"/>
              </w:rPr>
            </w:r>
          </w:p>
        </w:tc>
        <w:tc>
          <w:tcPr>
            <w:tcW w:w="3259" w:type="dxa"/>
            <w:vAlign w:val="center"/>
          </w:tcPr>
          <w:p>
            <w:pPr>
              <w:pStyle w:val="0"/>
              <w:jc w:val="center"/>
            </w:pPr>
            <w:r>
              <w:rPr>
                <w:sz w:val="24"/>
              </w:rPr>
              <w:t xml:space="preserve">Вызовов по неотложной помощи</w:t>
            </w:r>
          </w:p>
        </w:tc>
        <w:tc>
          <w:tcPr>
            <w:gridSpan w:val="2"/>
            <w:tcW w:w="2041" w:type="dxa"/>
          </w:tcPr>
          <w:p>
            <w:pPr>
              <w:pStyle w:val="0"/>
            </w:pPr>
            <w:r>
              <w:rPr>
                <w:sz w:val="24"/>
              </w:rPr>
            </w:r>
          </w:p>
        </w:tc>
        <w:tc>
          <w:tcPr>
            <w:tcW w:w="737" w:type="dxa"/>
          </w:tcPr>
          <w:p>
            <w:pPr>
              <w:pStyle w:val="0"/>
            </w:pPr>
            <w:r>
              <w:rPr>
                <w:sz w:val="24"/>
              </w:rPr>
            </w:r>
          </w:p>
        </w:tc>
        <w:tc>
          <w:tcPr>
            <w:tcW w:w="1531" w:type="dxa"/>
          </w:tcPr>
          <w:p>
            <w:pPr>
              <w:pStyle w:val="0"/>
            </w:pPr>
            <w:r>
              <w:rPr>
                <w:sz w:val="24"/>
              </w:rPr>
            </w:r>
          </w:p>
        </w:tc>
      </w:tr>
      <w:tr>
        <w:tc>
          <w:tcPr>
            <w:vMerge w:val="continue"/>
          </w:tcPr>
          <w:p/>
        </w:tc>
        <w:tc>
          <w:tcPr>
            <w:tcW w:w="566" w:type="dxa"/>
          </w:tcPr>
          <w:p>
            <w:pPr>
              <w:pStyle w:val="0"/>
            </w:pPr>
            <w:r>
              <w:rPr>
                <w:sz w:val="24"/>
              </w:rPr>
            </w:r>
          </w:p>
        </w:tc>
        <w:tc>
          <w:tcPr>
            <w:tcW w:w="3259" w:type="dxa"/>
            <w:vAlign w:val="center"/>
          </w:tcPr>
          <w:p>
            <w:pPr>
              <w:pStyle w:val="0"/>
              <w:jc w:val="center"/>
            </w:pPr>
            <w:r>
              <w:rPr>
                <w:sz w:val="24"/>
              </w:rPr>
              <w:t xml:space="preserve">Вызовов скорой помощи - всего, в том числе:</w:t>
            </w:r>
          </w:p>
        </w:tc>
        <w:tc>
          <w:tcPr>
            <w:tcW w:w="1134" w:type="dxa"/>
          </w:tcPr>
          <w:p>
            <w:pPr>
              <w:pStyle w:val="0"/>
            </w:pPr>
            <w:r>
              <w:rPr>
                <w:sz w:val="24"/>
              </w:rPr>
            </w:r>
          </w:p>
        </w:tc>
        <w:tc>
          <w:tcPr>
            <w:tcW w:w="907" w:type="dxa"/>
          </w:tcPr>
          <w:p>
            <w:pPr>
              <w:pStyle w:val="0"/>
            </w:pPr>
            <w:r>
              <w:rPr>
                <w:sz w:val="24"/>
              </w:rPr>
            </w:r>
          </w:p>
        </w:tc>
        <w:tc>
          <w:tcPr>
            <w:tcW w:w="737" w:type="dxa"/>
          </w:tcPr>
          <w:p>
            <w:pPr>
              <w:pStyle w:val="0"/>
            </w:pPr>
            <w:r>
              <w:rPr>
                <w:sz w:val="24"/>
              </w:rPr>
            </w:r>
          </w:p>
        </w:tc>
        <w:tc>
          <w:tcPr>
            <w:tcW w:w="1531" w:type="dxa"/>
          </w:tcPr>
          <w:p>
            <w:pPr>
              <w:pStyle w:val="0"/>
            </w:pPr>
            <w:r>
              <w:rPr>
                <w:sz w:val="24"/>
              </w:rPr>
            </w:r>
          </w:p>
        </w:tc>
      </w:tr>
      <w:tr>
        <w:tc>
          <w:tcPr>
            <w:vMerge w:val="continue"/>
          </w:tcPr>
          <w:p/>
        </w:tc>
        <w:tc>
          <w:tcPr>
            <w:tcW w:w="566" w:type="dxa"/>
            <w:vMerge w:val="restart"/>
          </w:tcPr>
          <w:p>
            <w:pPr>
              <w:pStyle w:val="0"/>
            </w:pPr>
            <w:r>
              <w:rPr>
                <w:sz w:val="24"/>
              </w:rPr>
            </w:r>
          </w:p>
        </w:tc>
        <w:tc>
          <w:tcPr>
            <w:tcW w:w="3259" w:type="dxa"/>
            <w:vAlign w:val="center"/>
            <w:vMerge w:val="restart"/>
          </w:tcPr>
          <w:p>
            <w:pPr>
              <w:pStyle w:val="0"/>
              <w:jc w:val="center"/>
            </w:pPr>
            <w:r>
              <w:rPr>
                <w:sz w:val="24"/>
              </w:rPr>
              <w:t xml:space="preserve">Вызовы скорой специализированной помощи</w:t>
            </w:r>
          </w:p>
        </w:tc>
        <w:tc>
          <w:tcPr>
            <w:tcW w:w="1134" w:type="dxa"/>
          </w:tcPr>
          <w:p>
            <w:pPr>
              <w:pStyle w:val="0"/>
            </w:pPr>
            <w:r>
              <w:rPr>
                <w:sz w:val="24"/>
              </w:rPr>
            </w:r>
          </w:p>
        </w:tc>
        <w:tc>
          <w:tcPr>
            <w:tcW w:w="907" w:type="dxa"/>
          </w:tcPr>
          <w:p>
            <w:pPr>
              <w:pStyle w:val="0"/>
            </w:pPr>
            <w:r>
              <w:rPr>
                <w:sz w:val="24"/>
              </w:rPr>
            </w:r>
          </w:p>
        </w:tc>
        <w:tc>
          <w:tcPr>
            <w:tcW w:w="737" w:type="dxa"/>
          </w:tcPr>
          <w:p>
            <w:pPr>
              <w:pStyle w:val="0"/>
            </w:pPr>
            <w:r>
              <w:rPr>
                <w:sz w:val="24"/>
              </w:rPr>
            </w:r>
          </w:p>
        </w:tc>
        <w:tc>
          <w:tcPr>
            <w:tcW w:w="1531" w:type="dxa"/>
          </w:tcPr>
          <w:p>
            <w:pPr>
              <w:pStyle w:val="0"/>
            </w:pPr>
            <w:r>
              <w:rPr>
                <w:sz w:val="24"/>
              </w:rPr>
            </w:r>
          </w:p>
        </w:tc>
      </w:tr>
      <w:tr>
        <w:tc>
          <w:tcPr>
            <w:vMerge w:val="continue"/>
          </w:tcPr>
          <w:p/>
        </w:tc>
        <w:tc>
          <w:tcPr>
            <w:vMerge w:val="continue"/>
          </w:tcPr>
          <w:p/>
        </w:tc>
        <w:tc>
          <w:tcPr>
            <w:vMerge w:val="continue"/>
          </w:tcPr>
          <w:p/>
        </w:tc>
        <w:tc>
          <w:tcPr>
            <w:tcW w:w="1134" w:type="dxa"/>
          </w:tcPr>
          <w:p>
            <w:pPr>
              <w:pStyle w:val="0"/>
            </w:pPr>
            <w:r>
              <w:rPr>
                <w:sz w:val="24"/>
              </w:rPr>
            </w:r>
          </w:p>
        </w:tc>
        <w:tc>
          <w:tcPr>
            <w:tcW w:w="907" w:type="dxa"/>
          </w:tcPr>
          <w:p>
            <w:pPr>
              <w:pStyle w:val="0"/>
            </w:pPr>
            <w:r>
              <w:rPr>
                <w:sz w:val="24"/>
              </w:rPr>
            </w:r>
          </w:p>
        </w:tc>
        <w:tc>
          <w:tcPr>
            <w:tcW w:w="737" w:type="dxa"/>
          </w:tcPr>
          <w:p>
            <w:pPr>
              <w:pStyle w:val="0"/>
            </w:pPr>
            <w:r>
              <w:rPr>
                <w:sz w:val="24"/>
              </w:rPr>
            </w:r>
          </w:p>
        </w:tc>
        <w:tc>
          <w:tcPr>
            <w:tcW w:w="1531" w:type="dxa"/>
          </w:tcPr>
          <w:p>
            <w:pPr>
              <w:pStyle w:val="0"/>
            </w:pPr>
            <w:r>
              <w:rPr>
                <w:sz w:val="24"/>
              </w:rPr>
            </w:r>
          </w:p>
        </w:tc>
      </w:tr>
      <w:tr>
        <w:tc>
          <w:tcPr>
            <w:vMerge w:val="continue"/>
          </w:tcPr>
          <w:p/>
        </w:tc>
        <w:tc>
          <w:tcPr>
            <w:tcW w:w="566" w:type="dxa"/>
          </w:tcPr>
          <w:p>
            <w:pPr>
              <w:pStyle w:val="0"/>
            </w:pPr>
            <w:r>
              <w:rPr>
                <w:sz w:val="24"/>
              </w:rPr>
            </w:r>
          </w:p>
        </w:tc>
        <w:tc>
          <w:tcPr>
            <w:tcW w:w="3259" w:type="dxa"/>
            <w:vAlign w:val="center"/>
          </w:tcPr>
          <w:p>
            <w:pPr>
              <w:pStyle w:val="0"/>
              <w:jc w:val="center"/>
            </w:pPr>
            <w:r>
              <w:rPr>
                <w:sz w:val="24"/>
              </w:rPr>
              <w:t xml:space="preserve">Медицинская транспортировка</w:t>
            </w:r>
          </w:p>
        </w:tc>
        <w:tc>
          <w:tcPr>
            <w:tcW w:w="1134" w:type="dxa"/>
          </w:tcPr>
          <w:p>
            <w:pPr>
              <w:pStyle w:val="0"/>
            </w:pPr>
            <w:r>
              <w:rPr>
                <w:sz w:val="24"/>
              </w:rPr>
            </w:r>
          </w:p>
        </w:tc>
        <w:tc>
          <w:tcPr>
            <w:tcW w:w="907" w:type="dxa"/>
          </w:tcPr>
          <w:p>
            <w:pPr>
              <w:pStyle w:val="0"/>
            </w:pPr>
            <w:r>
              <w:rPr>
                <w:sz w:val="24"/>
              </w:rPr>
            </w:r>
          </w:p>
        </w:tc>
        <w:tc>
          <w:tcPr>
            <w:tcW w:w="737" w:type="dxa"/>
          </w:tcPr>
          <w:p>
            <w:pPr>
              <w:pStyle w:val="0"/>
            </w:pPr>
            <w:r>
              <w:rPr>
                <w:sz w:val="24"/>
              </w:rPr>
            </w:r>
          </w:p>
        </w:tc>
        <w:tc>
          <w:tcPr>
            <w:tcW w:w="1531" w:type="dxa"/>
          </w:tcPr>
          <w:p>
            <w:pPr>
              <w:pStyle w:val="0"/>
            </w:pPr>
            <w:r>
              <w:rPr>
                <w:sz w:val="24"/>
              </w:rPr>
            </w:r>
          </w:p>
        </w:tc>
      </w:tr>
      <w:tr>
        <w:tc>
          <w:tcPr>
            <w:vMerge w:val="continue"/>
          </w:tcPr>
          <w:p/>
        </w:tc>
        <w:tc>
          <w:tcPr>
            <w:tcW w:w="566" w:type="dxa"/>
          </w:tcPr>
          <w:p>
            <w:pPr>
              <w:pStyle w:val="0"/>
            </w:pPr>
            <w:r>
              <w:rPr>
                <w:sz w:val="24"/>
              </w:rPr>
            </w:r>
          </w:p>
        </w:tc>
        <w:tc>
          <w:tcPr>
            <w:tcW w:w="3259" w:type="dxa"/>
            <w:vAlign w:val="center"/>
          </w:tcPr>
          <w:p>
            <w:pPr>
              <w:pStyle w:val="0"/>
              <w:jc w:val="center"/>
            </w:pPr>
            <w:r>
              <w:rPr>
                <w:sz w:val="24"/>
              </w:rPr>
              <w:t xml:space="preserve">Иные вызовы скорой помощи</w:t>
            </w:r>
          </w:p>
        </w:tc>
        <w:tc>
          <w:tcPr>
            <w:tcW w:w="1134" w:type="dxa"/>
          </w:tcPr>
          <w:p>
            <w:pPr>
              <w:pStyle w:val="0"/>
            </w:pPr>
            <w:r>
              <w:rPr>
                <w:sz w:val="24"/>
              </w:rPr>
            </w:r>
          </w:p>
        </w:tc>
        <w:tc>
          <w:tcPr>
            <w:tcW w:w="907" w:type="dxa"/>
          </w:tcPr>
          <w:p>
            <w:pPr>
              <w:pStyle w:val="0"/>
            </w:pPr>
            <w:r>
              <w:rPr>
                <w:sz w:val="24"/>
              </w:rPr>
            </w:r>
          </w:p>
        </w:tc>
        <w:tc>
          <w:tcPr>
            <w:tcW w:w="737" w:type="dxa"/>
          </w:tcPr>
          <w:p>
            <w:pPr>
              <w:pStyle w:val="0"/>
            </w:pPr>
            <w:r>
              <w:rPr>
                <w:sz w:val="24"/>
              </w:rPr>
            </w:r>
          </w:p>
        </w:tc>
        <w:tc>
          <w:tcPr>
            <w:tcW w:w="1531" w:type="dxa"/>
          </w:tcPr>
          <w:p>
            <w:pPr>
              <w:pStyle w:val="0"/>
            </w:pPr>
            <w:r>
              <w:rPr>
                <w:sz w:val="24"/>
              </w:rPr>
            </w:r>
          </w:p>
        </w:tc>
      </w:tr>
      <w:tr>
        <w:tc>
          <w:tcPr>
            <w:tcW w:w="964" w:type="dxa"/>
            <w:vAlign w:val="center"/>
            <w:vMerge w:val="restart"/>
          </w:tcPr>
          <w:p>
            <w:pPr>
              <w:pStyle w:val="0"/>
              <w:jc w:val="center"/>
            </w:pPr>
            <w:r>
              <w:rPr>
                <w:sz w:val="24"/>
              </w:rPr>
              <w:t xml:space="preserve">Год участия - 2</w:t>
            </w:r>
          </w:p>
        </w:tc>
        <w:tc>
          <w:tcPr>
            <w:tcW w:w="566" w:type="dxa"/>
          </w:tcPr>
          <w:p>
            <w:pPr>
              <w:pStyle w:val="0"/>
            </w:pPr>
            <w:r>
              <w:rPr>
                <w:sz w:val="24"/>
              </w:rPr>
            </w:r>
          </w:p>
        </w:tc>
        <w:tc>
          <w:tcPr>
            <w:tcW w:w="3259" w:type="dxa"/>
            <w:vAlign w:val="center"/>
          </w:tcPr>
          <w:p>
            <w:pPr>
              <w:pStyle w:val="0"/>
              <w:jc w:val="center"/>
            </w:pPr>
            <w:r>
              <w:rPr>
                <w:sz w:val="24"/>
              </w:rPr>
              <w:t xml:space="preserve">Всего</w:t>
            </w:r>
          </w:p>
        </w:tc>
        <w:tc>
          <w:tcPr>
            <w:tcW w:w="1134" w:type="dxa"/>
          </w:tcPr>
          <w:p>
            <w:pPr>
              <w:pStyle w:val="0"/>
            </w:pPr>
            <w:r>
              <w:rPr>
                <w:sz w:val="24"/>
              </w:rPr>
            </w:r>
          </w:p>
        </w:tc>
        <w:tc>
          <w:tcPr>
            <w:tcW w:w="907" w:type="dxa"/>
          </w:tcPr>
          <w:p>
            <w:pPr>
              <w:pStyle w:val="0"/>
            </w:pPr>
            <w:r>
              <w:rPr>
                <w:sz w:val="24"/>
              </w:rPr>
            </w:r>
          </w:p>
        </w:tc>
        <w:tc>
          <w:tcPr>
            <w:tcW w:w="737" w:type="dxa"/>
          </w:tcPr>
          <w:p>
            <w:pPr>
              <w:pStyle w:val="0"/>
            </w:pPr>
            <w:r>
              <w:rPr>
                <w:sz w:val="24"/>
              </w:rPr>
            </w:r>
          </w:p>
        </w:tc>
        <w:tc>
          <w:tcPr>
            <w:tcW w:w="1531" w:type="dxa"/>
          </w:tcPr>
          <w:p>
            <w:pPr>
              <w:pStyle w:val="0"/>
            </w:pPr>
            <w:r>
              <w:rPr>
                <w:sz w:val="24"/>
              </w:rPr>
            </w:r>
          </w:p>
        </w:tc>
      </w:tr>
      <w:tr>
        <w:tc>
          <w:tcPr>
            <w:vMerge w:val="continue"/>
          </w:tcPr>
          <w:p/>
        </w:tc>
        <w:tc>
          <w:tcPr>
            <w:tcW w:w="566" w:type="dxa"/>
          </w:tcPr>
          <w:p>
            <w:pPr>
              <w:pStyle w:val="0"/>
            </w:pPr>
            <w:r>
              <w:rPr>
                <w:sz w:val="24"/>
              </w:rPr>
            </w:r>
          </w:p>
        </w:tc>
        <w:tc>
          <w:tcPr>
            <w:tcW w:w="3259" w:type="dxa"/>
            <w:vAlign w:val="center"/>
          </w:tcPr>
          <w:p>
            <w:pPr>
              <w:pStyle w:val="0"/>
              <w:jc w:val="center"/>
            </w:pPr>
            <w:r>
              <w:rPr>
                <w:sz w:val="24"/>
              </w:rPr>
              <w:t xml:space="preserve">Вызовов по неотложной помощи</w:t>
            </w:r>
          </w:p>
        </w:tc>
        <w:tc>
          <w:tcPr>
            <w:tcW w:w="1134" w:type="dxa"/>
          </w:tcPr>
          <w:p>
            <w:pPr>
              <w:pStyle w:val="0"/>
            </w:pPr>
            <w:r>
              <w:rPr>
                <w:sz w:val="24"/>
              </w:rPr>
            </w:r>
          </w:p>
        </w:tc>
        <w:tc>
          <w:tcPr>
            <w:tcW w:w="907" w:type="dxa"/>
          </w:tcPr>
          <w:p>
            <w:pPr>
              <w:pStyle w:val="0"/>
            </w:pPr>
            <w:r>
              <w:rPr>
                <w:sz w:val="24"/>
              </w:rPr>
            </w:r>
          </w:p>
        </w:tc>
        <w:tc>
          <w:tcPr>
            <w:tcW w:w="737" w:type="dxa"/>
          </w:tcPr>
          <w:p>
            <w:pPr>
              <w:pStyle w:val="0"/>
            </w:pPr>
            <w:r>
              <w:rPr>
                <w:sz w:val="24"/>
              </w:rPr>
            </w:r>
          </w:p>
        </w:tc>
        <w:tc>
          <w:tcPr>
            <w:tcW w:w="1531" w:type="dxa"/>
          </w:tcPr>
          <w:p>
            <w:pPr>
              <w:pStyle w:val="0"/>
            </w:pPr>
            <w:r>
              <w:rPr>
                <w:sz w:val="24"/>
              </w:rPr>
            </w:r>
          </w:p>
        </w:tc>
      </w:tr>
      <w:tr>
        <w:tc>
          <w:tcPr>
            <w:vMerge w:val="continue"/>
          </w:tcPr>
          <w:p/>
        </w:tc>
        <w:tc>
          <w:tcPr>
            <w:tcW w:w="566" w:type="dxa"/>
          </w:tcPr>
          <w:p>
            <w:pPr>
              <w:pStyle w:val="0"/>
            </w:pPr>
            <w:r>
              <w:rPr>
                <w:sz w:val="24"/>
              </w:rPr>
            </w:r>
          </w:p>
        </w:tc>
        <w:tc>
          <w:tcPr>
            <w:tcW w:w="3259" w:type="dxa"/>
            <w:vAlign w:val="center"/>
          </w:tcPr>
          <w:p>
            <w:pPr>
              <w:pStyle w:val="0"/>
              <w:jc w:val="center"/>
            </w:pPr>
            <w:r>
              <w:rPr>
                <w:sz w:val="24"/>
              </w:rPr>
              <w:t xml:space="preserve">Вызовов скорой помощи - всего, в том числе:</w:t>
            </w:r>
          </w:p>
        </w:tc>
        <w:tc>
          <w:tcPr>
            <w:tcW w:w="1134" w:type="dxa"/>
          </w:tcPr>
          <w:p>
            <w:pPr>
              <w:pStyle w:val="0"/>
            </w:pPr>
            <w:r>
              <w:rPr>
                <w:sz w:val="24"/>
              </w:rPr>
            </w:r>
          </w:p>
        </w:tc>
        <w:tc>
          <w:tcPr>
            <w:tcW w:w="907" w:type="dxa"/>
          </w:tcPr>
          <w:p>
            <w:pPr>
              <w:pStyle w:val="0"/>
            </w:pPr>
            <w:r>
              <w:rPr>
                <w:sz w:val="24"/>
              </w:rPr>
            </w:r>
          </w:p>
        </w:tc>
        <w:tc>
          <w:tcPr>
            <w:tcW w:w="737" w:type="dxa"/>
          </w:tcPr>
          <w:p>
            <w:pPr>
              <w:pStyle w:val="0"/>
            </w:pPr>
            <w:r>
              <w:rPr>
                <w:sz w:val="24"/>
              </w:rPr>
            </w:r>
          </w:p>
        </w:tc>
        <w:tc>
          <w:tcPr>
            <w:tcW w:w="1531" w:type="dxa"/>
            <w:vMerge w:val="restart"/>
          </w:tcPr>
          <w:p>
            <w:pPr>
              <w:pStyle w:val="0"/>
            </w:pPr>
            <w:r>
              <w:rPr>
                <w:sz w:val="24"/>
              </w:rPr>
            </w:r>
          </w:p>
        </w:tc>
      </w:tr>
      <w:tr>
        <w:tc>
          <w:tcPr>
            <w:vMerge w:val="continue"/>
          </w:tcPr>
          <w:p/>
        </w:tc>
        <w:tc>
          <w:tcPr>
            <w:tcW w:w="566" w:type="dxa"/>
            <w:vAlign w:val="center"/>
            <w:vMerge w:val="restart"/>
          </w:tcPr>
          <w:p>
            <w:pPr>
              <w:pStyle w:val="0"/>
            </w:pPr>
            <w:r>
              <w:rPr>
                <w:sz w:val="24"/>
              </w:rPr>
            </w:r>
          </w:p>
        </w:tc>
        <w:tc>
          <w:tcPr>
            <w:tcW w:w="3259" w:type="dxa"/>
            <w:vAlign w:val="center"/>
            <w:vMerge w:val="restart"/>
          </w:tcPr>
          <w:p>
            <w:pPr>
              <w:pStyle w:val="0"/>
              <w:jc w:val="center"/>
            </w:pPr>
            <w:r>
              <w:rPr>
                <w:sz w:val="24"/>
              </w:rPr>
              <w:t xml:space="preserve">Вызовы скорой специализированной помощи</w:t>
            </w:r>
          </w:p>
        </w:tc>
        <w:tc>
          <w:tcPr>
            <w:gridSpan w:val="3"/>
            <w:tcW w:w="2778" w:type="dxa"/>
          </w:tcPr>
          <w:p>
            <w:pPr>
              <w:pStyle w:val="0"/>
            </w:pPr>
            <w:r>
              <w:rPr>
                <w:sz w:val="24"/>
              </w:rPr>
            </w:r>
          </w:p>
        </w:tc>
        <w:tc>
          <w:tcPr>
            <w:vMerge w:val="continue"/>
          </w:tcPr>
          <w:p/>
        </w:tc>
      </w:tr>
      <w:tr>
        <w:tc>
          <w:tcPr>
            <w:vMerge w:val="continue"/>
          </w:tcPr>
          <w:p/>
        </w:tc>
        <w:tc>
          <w:tcPr>
            <w:vMerge w:val="continue"/>
          </w:tcPr>
          <w:p/>
        </w:tc>
        <w:tc>
          <w:tcPr>
            <w:vMerge w:val="continue"/>
          </w:tcPr>
          <w:p/>
        </w:tc>
        <w:tc>
          <w:tcPr>
            <w:tcW w:w="1134" w:type="dxa"/>
          </w:tcPr>
          <w:p>
            <w:pPr>
              <w:pStyle w:val="0"/>
            </w:pPr>
            <w:r>
              <w:rPr>
                <w:sz w:val="24"/>
              </w:rPr>
            </w:r>
          </w:p>
        </w:tc>
        <w:tc>
          <w:tcPr>
            <w:tcW w:w="907" w:type="dxa"/>
          </w:tcPr>
          <w:p>
            <w:pPr>
              <w:pStyle w:val="0"/>
            </w:pPr>
            <w:r>
              <w:rPr>
                <w:sz w:val="24"/>
              </w:rPr>
            </w:r>
          </w:p>
        </w:tc>
        <w:tc>
          <w:tcPr>
            <w:tcW w:w="737" w:type="dxa"/>
          </w:tcPr>
          <w:p>
            <w:pPr>
              <w:pStyle w:val="0"/>
            </w:pPr>
            <w:r>
              <w:rPr>
                <w:sz w:val="24"/>
              </w:rPr>
            </w:r>
          </w:p>
        </w:tc>
        <w:tc>
          <w:tcPr>
            <w:tcW w:w="1531" w:type="dxa"/>
          </w:tcPr>
          <w:p>
            <w:pPr>
              <w:pStyle w:val="0"/>
            </w:pPr>
            <w:r>
              <w:rPr>
                <w:sz w:val="24"/>
              </w:rPr>
            </w:r>
          </w:p>
        </w:tc>
      </w:tr>
      <w:tr>
        <w:tc>
          <w:tcPr>
            <w:vMerge w:val="continue"/>
          </w:tcPr>
          <w:p/>
        </w:tc>
        <w:tc>
          <w:tcPr>
            <w:tcW w:w="566" w:type="dxa"/>
          </w:tcPr>
          <w:p>
            <w:pPr>
              <w:pStyle w:val="0"/>
            </w:pPr>
            <w:r>
              <w:rPr>
                <w:sz w:val="24"/>
              </w:rPr>
            </w:r>
          </w:p>
        </w:tc>
        <w:tc>
          <w:tcPr>
            <w:tcW w:w="3259" w:type="dxa"/>
            <w:vAlign w:val="center"/>
          </w:tcPr>
          <w:p>
            <w:pPr>
              <w:pStyle w:val="0"/>
              <w:jc w:val="center"/>
            </w:pPr>
            <w:r>
              <w:rPr>
                <w:sz w:val="24"/>
              </w:rPr>
              <w:t xml:space="preserve">Медицинская транспортировка</w:t>
            </w:r>
          </w:p>
        </w:tc>
        <w:tc>
          <w:tcPr>
            <w:tcW w:w="1134" w:type="dxa"/>
          </w:tcPr>
          <w:p>
            <w:pPr>
              <w:pStyle w:val="0"/>
            </w:pPr>
            <w:r>
              <w:rPr>
                <w:sz w:val="24"/>
              </w:rPr>
            </w:r>
          </w:p>
        </w:tc>
        <w:tc>
          <w:tcPr>
            <w:tcW w:w="907" w:type="dxa"/>
          </w:tcPr>
          <w:p>
            <w:pPr>
              <w:pStyle w:val="0"/>
            </w:pPr>
            <w:r>
              <w:rPr>
                <w:sz w:val="24"/>
              </w:rPr>
            </w:r>
          </w:p>
        </w:tc>
        <w:tc>
          <w:tcPr>
            <w:tcW w:w="737" w:type="dxa"/>
          </w:tcPr>
          <w:p>
            <w:pPr>
              <w:pStyle w:val="0"/>
            </w:pPr>
            <w:r>
              <w:rPr>
                <w:sz w:val="24"/>
              </w:rPr>
            </w:r>
          </w:p>
        </w:tc>
        <w:tc>
          <w:tcPr>
            <w:tcW w:w="1531" w:type="dxa"/>
          </w:tcPr>
          <w:p>
            <w:pPr>
              <w:pStyle w:val="0"/>
            </w:pPr>
            <w:r>
              <w:rPr>
                <w:sz w:val="24"/>
              </w:rPr>
            </w:r>
          </w:p>
        </w:tc>
      </w:tr>
      <w:tr>
        <w:tc>
          <w:tcPr>
            <w:vMerge w:val="continue"/>
          </w:tcPr>
          <w:p/>
        </w:tc>
        <w:tc>
          <w:tcPr>
            <w:tcW w:w="566" w:type="dxa"/>
          </w:tcPr>
          <w:p>
            <w:pPr>
              <w:pStyle w:val="0"/>
            </w:pPr>
            <w:r>
              <w:rPr>
                <w:sz w:val="24"/>
              </w:rPr>
            </w:r>
          </w:p>
        </w:tc>
        <w:tc>
          <w:tcPr>
            <w:tcW w:w="3259" w:type="dxa"/>
            <w:vAlign w:val="center"/>
          </w:tcPr>
          <w:p>
            <w:pPr>
              <w:pStyle w:val="0"/>
              <w:jc w:val="center"/>
            </w:pPr>
            <w:r>
              <w:rPr>
                <w:sz w:val="24"/>
              </w:rPr>
              <w:t xml:space="preserve">Иные вызовы скорой помощи</w:t>
            </w:r>
          </w:p>
        </w:tc>
        <w:tc>
          <w:tcPr>
            <w:tcW w:w="1134" w:type="dxa"/>
          </w:tcPr>
          <w:p>
            <w:pPr>
              <w:pStyle w:val="0"/>
            </w:pPr>
            <w:r>
              <w:rPr>
                <w:sz w:val="24"/>
              </w:rPr>
            </w:r>
          </w:p>
        </w:tc>
        <w:tc>
          <w:tcPr>
            <w:tcW w:w="907" w:type="dxa"/>
          </w:tcPr>
          <w:p>
            <w:pPr>
              <w:pStyle w:val="0"/>
            </w:pPr>
            <w:r>
              <w:rPr>
                <w:sz w:val="24"/>
              </w:rPr>
            </w:r>
          </w:p>
        </w:tc>
        <w:tc>
          <w:tcPr>
            <w:tcW w:w="737" w:type="dxa"/>
          </w:tcPr>
          <w:p>
            <w:pPr>
              <w:pStyle w:val="0"/>
            </w:pPr>
            <w:r>
              <w:rPr>
                <w:sz w:val="24"/>
              </w:rPr>
            </w:r>
          </w:p>
        </w:tc>
        <w:tc>
          <w:tcPr>
            <w:tcW w:w="1531" w:type="dxa"/>
          </w:tcPr>
          <w:p>
            <w:pPr>
              <w:pStyle w:val="0"/>
            </w:pPr>
            <w:r>
              <w:rPr>
                <w:sz w:val="24"/>
              </w:rPr>
            </w:r>
          </w:p>
        </w:tc>
      </w:tr>
      <w:tr>
        <w:tc>
          <w:tcPr>
            <w:tcW w:w="964" w:type="dxa"/>
            <w:vAlign w:val="center"/>
            <w:vMerge w:val="restart"/>
          </w:tcPr>
          <w:p>
            <w:pPr>
              <w:pStyle w:val="0"/>
              <w:jc w:val="center"/>
            </w:pPr>
            <w:r>
              <w:rPr>
                <w:sz w:val="24"/>
              </w:rPr>
              <w:t xml:space="preserve">Год участия - 1</w:t>
            </w:r>
          </w:p>
        </w:tc>
        <w:tc>
          <w:tcPr>
            <w:tcW w:w="566" w:type="dxa"/>
          </w:tcPr>
          <w:p>
            <w:pPr>
              <w:pStyle w:val="0"/>
            </w:pPr>
            <w:r>
              <w:rPr>
                <w:sz w:val="24"/>
              </w:rPr>
            </w:r>
          </w:p>
        </w:tc>
        <w:tc>
          <w:tcPr>
            <w:tcW w:w="3259" w:type="dxa"/>
            <w:vAlign w:val="center"/>
          </w:tcPr>
          <w:p>
            <w:pPr>
              <w:pStyle w:val="0"/>
              <w:jc w:val="center"/>
            </w:pPr>
            <w:r>
              <w:rPr>
                <w:sz w:val="24"/>
              </w:rPr>
              <w:t xml:space="preserve">Всего</w:t>
            </w:r>
          </w:p>
        </w:tc>
        <w:tc>
          <w:tcPr>
            <w:tcW w:w="1134" w:type="dxa"/>
          </w:tcPr>
          <w:p>
            <w:pPr>
              <w:pStyle w:val="0"/>
            </w:pPr>
            <w:r>
              <w:rPr>
                <w:sz w:val="24"/>
              </w:rPr>
            </w:r>
          </w:p>
        </w:tc>
        <w:tc>
          <w:tcPr>
            <w:tcW w:w="907" w:type="dxa"/>
          </w:tcPr>
          <w:p>
            <w:pPr>
              <w:pStyle w:val="0"/>
            </w:pPr>
            <w:r>
              <w:rPr>
                <w:sz w:val="24"/>
              </w:rPr>
            </w:r>
          </w:p>
        </w:tc>
        <w:tc>
          <w:tcPr>
            <w:tcW w:w="737" w:type="dxa"/>
          </w:tcPr>
          <w:p>
            <w:pPr>
              <w:pStyle w:val="0"/>
            </w:pPr>
            <w:r>
              <w:rPr>
                <w:sz w:val="24"/>
              </w:rPr>
            </w:r>
          </w:p>
        </w:tc>
        <w:tc>
          <w:tcPr>
            <w:tcW w:w="1531" w:type="dxa"/>
          </w:tcPr>
          <w:p>
            <w:pPr>
              <w:pStyle w:val="0"/>
            </w:pPr>
            <w:r>
              <w:rPr>
                <w:sz w:val="24"/>
              </w:rPr>
            </w:r>
          </w:p>
        </w:tc>
      </w:tr>
      <w:tr>
        <w:tc>
          <w:tcPr>
            <w:vMerge w:val="continue"/>
          </w:tcPr>
          <w:p/>
        </w:tc>
        <w:tc>
          <w:tcPr>
            <w:tcW w:w="566" w:type="dxa"/>
          </w:tcPr>
          <w:p>
            <w:pPr>
              <w:pStyle w:val="0"/>
            </w:pPr>
            <w:r>
              <w:rPr>
                <w:sz w:val="24"/>
              </w:rPr>
            </w:r>
          </w:p>
        </w:tc>
        <w:tc>
          <w:tcPr>
            <w:tcW w:w="3259" w:type="dxa"/>
            <w:vAlign w:val="center"/>
          </w:tcPr>
          <w:p>
            <w:pPr>
              <w:pStyle w:val="0"/>
              <w:jc w:val="center"/>
            </w:pPr>
            <w:r>
              <w:rPr>
                <w:sz w:val="24"/>
              </w:rPr>
              <w:t xml:space="preserve">Вызовов по неотложной помощи</w:t>
            </w:r>
          </w:p>
        </w:tc>
        <w:tc>
          <w:tcPr>
            <w:tcW w:w="1134" w:type="dxa"/>
          </w:tcPr>
          <w:p>
            <w:pPr>
              <w:pStyle w:val="0"/>
            </w:pPr>
            <w:r>
              <w:rPr>
                <w:sz w:val="24"/>
              </w:rPr>
            </w:r>
          </w:p>
        </w:tc>
        <w:tc>
          <w:tcPr>
            <w:tcW w:w="907" w:type="dxa"/>
          </w:tcPr>
          <w:p>
            <w:pPr>
              <w:pStyle w:val="0"/>
            </w:pPr>
            <w:r>
              <w:rPr>
                <w:sz w:val="24"/>
              </w:rPr>
            </w:r>
          </w:p>
        </w:tc>
        <w:tc>
          <w:tcPr>
            <w:tcW w:w="737" w:type="dxa"/>
          </w:tcPr>
          <w:p>
            <w:pPr>
              <w:pStyle w:val="0"/>
            </w:pPr>
            <w:r>
              <w:rPr>
                <w:sz w:val="24"/>
              </w:rPr>
            </w:r>
          </w:p>
        </w:tc>
        <w:tc>
          <w:tcPr>
            <w:tcW w:w="1531" w:type="dxa"/>
          </w:tcPr>
          <w:p>
            <w:pPr>
              <w:pStyle w:val="0"/>
            </w:pPr>
            <w:r>
              <w:rPr>
                <w:sz w:val="24"/>
              </w:rPr>
            </w:r>
          </w:p>
        </w:tc>
      </w:tr>
      <w:tr>
        <w:tc>
          <w:tcPr>
            <w:vMerge w:val="continue"/>
          </w:tcPr>
          <w:p/>
        </w:tc>
        <w:tc>
          <w:tcPr>
            <w:tcW w:w="566" w:type="dxa"/>
          </w:tcPr>
          <w:p>
            <w:pPr>
              <w:pStyle w:val="0"/>
            </w:pPr>
            <w:r>
              <w:rPr>
                <w:sz w:val="24"/>
              </w:rPr>
            </w:r>
          </w:p>
        </w:tc>
        <w:tc>
          <w:tcPr>
            <w:tcW w:w="3259" w:type="dxa"/>
            <w:vAlign w:val="center"/>
          </w:tcPr>
          <w:p>
            <w:pPr>
              <w:pStyle w:val="0"/>
              <w:jc w:val="center"/>
            </w:pPr>
            <w:r>
              <w:rPr>
                <w:sz w:val="24"/>
              </w:rPr>
              <w:t xml:space="preserve">Вызовов скорой помощи - всего, в том числе:</w:t>
            </w:r>
          </w:p>
        </w:tc>
        <w:tc>
          <w:tcPr>
            <w:tcW w:w="1134" w:type="dxa"/>
          </w:tcPr>
          <w:p>
            <w:pPr>
              <w:pStyle w:val="0"/>
            </w:pPr>
            <w:r>
              <w:rPr>
                <w:sz w:val="24"/>
              </w:rPr>
            </w:r>
          </w:p>
        </w:tc>
        <w:tc>
          <w:tcPr>
            <w:tcW w:w="907" w:type="dxa"/>
          </w:tcPr>
          <w:p>
            <w:pPr>
              <w:pStyle w:val="0"/>
            </w:pPr>
            <w:r>
              <w:rPr>
                <w:sz w:val="24"/>
              </w:rPr>
            </w:r>
          </w:p>
        </w:tc>
        <w:tc>
          <w:tcPr>
            <w:tcW w:w="737" w:type="dxa"/>
          </w:tcPr>
          <w:p>
            <w:pPr>
              <w:pStyle w:val="0"/>
            </w:pPr>
            <w:r>
              <w:rPr>
                <w:sz w:val="24"/>
              </w:rPr>
            </w:r>
          </w:p>
        </w:tc>
        <w:tc>
          <w:tcPr>
            <w:tcW w:w="1531" w:type="dxa"/>
          </w:tcPr>
          <w:p>
            <w:pPr>
              <w:pStyle w:val="0"/>
            </w:pPr>
            <w:r>
              <w:rPr>
                <w:sz w:val="24"/>
              </w:rPr>
            </w:r>
          </w:p>
        </w:tc>
      </w:tr>
      <w:tr>
        <w:tc>
          <w:tcPr>
            <w:vMerge w:val="continue"/>
          </w:tcPr>
          <w:p/>
        </w:tc>
        <w:tc>
          <w:tcPr>
            <w:tcW w:w="566" w:type="dxa"/>
          </w:tcPr>
          <w:p>
            <w:pPr>
              <w:pStyle w:val="0"/>
            </w:pPr>
            <w:r>
              <w:rPr>
                <w:sz w:val="24"/>
              </w:rPr>
            </w:r>
          </w:p>
        </w:tc>
        <w:tc>
          <w:tcPr>
            <w:tcW w:w="3259" w:type="dxa"/>
            <w:vAlign w:val="center"/>
          </w:tcPr>
          <w:p>
            <w:pPr>
              <w:pStyle w:val="0"/>
              <w:jc w:val="center"/>
            </w:pPr>
            <w:r>
              <w:rPr>
                <w:sz w:val="24"/>
              </w:rPr>
              <w:t xml:space="preserve">Вызовы скорой специализированной помощи</w:t>
            </w:r>
          </w:p>
        </w:tc>
        <w:tc>
          <w:tcPr>
            <w:tcW w:w="1134" w:type="dxa"/>
          </w:tcPr>
          <w:p>
            <w:pPr>
              <w:pStyle w:val="0"/>
            </w:pPr>
            <w:r>
              <w:rPr>
                <w:sz w:val="24"/>
              </w:rPr>
            </w:r>
          </w:p>
        </w:tc>
        <w:tc>
          <w:tcPr>
            <w:tcW w:w="907" w:type="dxa"/>
          </w:tcPr>
          <w:p>
            <w:pPr>
              <w:pStyle w:val="0"/>
            </w:pPr>
            <w:r>
              <w:rPr>
                <w:sz w:val="24"/>
              </w:rPr>
            </w:r>
          </w:p>
        </w:tc>
        <w:tc>
          <w:tcPr>
            <w:tcW w:w="737" w:type="dxa"/>
          </w:tcPr>
          <w:p>
            <w:pPr>
              <w:pStyle w:val="0"/>
            </w:pPr>
            <w:r>
              <w:rPr>
                <w:sz w:val="24"/>
              </w:rPr>
            </w:r>
          </w:p>
        </w:tc>
        <w:tc>
          <w:tcPr>
            <w:tcW w:w="1531" w:type="dxa"/>
          </w:tcPr>
          <w:p>
            <w:pPr>
              <w:pStyle w:val="0"/>
            </w:pPr>
            <w:r>
              <w:rPr>
                <w:sz w:val="24"/>
              </w:rPr>
            </w:r>
          </w:p>
        </w:tc>
      </w:tr>
      <w:tr>
        <w:tc>
          <w:tcPr>
            <w:vMerge w:val="continue"/>
          </w:tcPr>
          <w:p/>
        </w:tc>
        <w:tc>
          <w:tcPr>
            <w:tcW w:w="566" w:type="dxa"/>
          </w:tcPr>
          <w:p>
            <w:pPr>
              <w:pStyle w:val="0"/>
            </w:pPr>
            <w:r>
              <w:rPr>
                <w:sz w:val="24"/>
              </w:rPr>
            </w:r>
          </w:p>
        </w:tc>
        <w:tc>
          <w:tcPr>
            <w:tcW w:w="3259" w:type="dxa"/>
            <w:vAlign w:val="center"/>
          </w:tcPr>
          <w:p>
            <w:pPr>
              <w:pStyle w:val="0"/>
              <w:jc w:val="center"/>
            </w:pPr>
            <w:r>
              <w:rPr>
                <w:sz w:val="24"/>
              </w:rPr>
              <w:t xml:space="preserve">Медицинская транспортировка</w:t>
            </w:r>
          </w:p>
        </w:tc>
        <w:tc>
          <w:tcPr>
            <w:tcW w:w="1134" w:type="dxa"/>
          </w:tcPr>
          <w:p>
            <w:pPr>
              <w:pStyle w:val="0"/>
            </w:pPr>
            <w:r>
              <w:rPr>
                <w:sz w:val="24"/>
              </w:rPr>
            </w:r>
          </w:p>
        </w:tc>
        <w:tc>
          <w:tcPr>
            <w:tcW w:w="907" w:type="dxa"/>
          </w:tcPr>
          <w:p>
            <w:pPr>
              <w:pStyle w:val="0"/>
            </w:pPr>
            <w:r>
              <w:rPr>
                <w:sz w:val="24"/>
              </w:rPr>
            </w:r>
          </w:p>
        </w:tc>
        <w:tc>
          <w:tcPr>
            <w:tcW w:w="737" w:type="dxa"/>
          </w:tcPr>
          <w:p>
            <w:pPr>
              <w:pStyle w:val="0"/>
            </w:pPr>
            <w:r>
              <w:rPr>
                <w:sz w:val="24"/>
              </w:rPr>
            </w:r>
          </w:p>
        </w:tc>
        <w:tc>
          <w:tcPr>
            <w:tcW w:w="1531" w:type="dxa"/>
          </w:tcPr>
          <w:p>
            <w:pPr>
              <w:pStyle w:val="0"/>
            </w:pPr>
            <w:r>
              <w:rPr>
                <w:sz w:val="24"/>
              </w:rPr>
            </w:r>
          </w:p>
        </w:tc>
      </w:tr>
      <w:tr>
        <w:tc>
          <w:tcPr>
            <w:vMerge w:val="continue"/>
          </w:tcPr>
          <w:p/>
        </w:tc>
        <w:tc>
          <w:tcPr>
            <w:tcW w:w="566" w:type="dxa"/>
          </w:tcPr>
          <w:p>
            <w:pPr>
              <w:pStyle w:val="0"/>
            </w:pPr>
            <w:r>
              <w:rPr>
                <w:sz w:val="24"/>
              </w:rPr>
            </w:r>
          </w:p>
        </w:tc>
        <w:tc>
          <w:tcPr>
            <w:tcW w:w="3259" w:type="dxa"/>
            <w:vAlign w:val="center"/>
          </w:tcPr>
          <w:p>
            <w:pPr>
              <w:pStyle w:val="0"/>
              <w:jc w:val="center"/>
            </w:pPr>
            <w:r>
              <w:rPr>
                <w:sz w:val="24"/>
              </w:rPr>
              <w:t xml:space="preserve">Иные вызовы скорой помощи</w:t>
            </w:r>
          </w:p>
        </w:tc>
        <w:tc>
          <w:tcPr>
            <w:tcW w:w="1134" w:type="dxa"/>
          </w:tcPr>
          <w:p>
            <w:pPr>
              <w:pStyle w:val="0"/>
            </w:pPr>
            <w:r>
              <w:rPr>
                <w:sz w:val="24"/>
              </w:rPr>
            </w:r>
          </w:p>
        </w:tc>
        <w:tc>
          <w:tcPr>
            <w:tcW w:w="907" w:type="dxa"/>
          </w:tcPr>
          <w:p>
            <w:pPr>
              <w:pStyle w:val="0"/>
            </w:pPr>
            <w:r>
              <w:rPr>
                <w:sz w:val="24"/>
              </w:rPr>
            </w:r>
          </w:p>
        </w:tc>
        <w:tc>
          <w:tcPr>
            <w:tcW w:w="737" w:type="dxa"/>
          </w:tcPr>
          <w:p>
            <w:pPr>
              <w:pStyle w:val="0"/>
            </w:pPr>
            <w:r>
              <w:rPr>
                <w:sz w:val="24"/>
              </w:rPr>
            </w:r>
          </w:p>
        </w:tc>
        <w:tc>
          <w:tcPr>
            <w:tcW w:w="1531" w:type="dxa"/>
          </w:tcPr>
          <w:p>
            <w:pPr>
              <w:pStyle w:val="0"/>
            </w:pPr>
            <w:r>
              <w:rPr>
                <w:sz w:val="24"/>
              </w:rPr>
            </w:r>
          </w:p>
        </w:tc>
      </w:tr>
    </w:tbl>
    <w:p>
      <w:pPr>
        <w:pStyle w:val="0"/>
        <w:jc w:val="both"/>
      </w:pPr>
      <w:r>
        <w:rPr>
          <w:sz w:val="24"/>
        </w:rPr>
      </w:r>
    </w:p>
    <w:p>
      <w:pPr>
        <w:pStyle w:val="1"/>
        <w:jc w:val="both"/>
      </w:pPr>
      <w:r>
        <w:rPr>
          <w:sz w:val="20"/>
        </w:rPr>
        <w:t xml:space="preserve">___________________________________________________________________________</w:t>
      </w:r>
    </w:p>
    <w:p>
      <w:pPr>
        <w:pStyle w:val="1"/>
        <w:jc w:val="both"/>
      </w:pPr>
      <w:r>
        <w:rPr>
          <w:sz w:val="20"/>
        </w:rPr>
      </w:r>
    </w:p>
    <w:p>
      <w:pPr>
        <w:pStyle w:val="1"/>
        <w:jc w:val="both"/>
      </w:pPr>
      <w:r>
        <w:rPr>
          <w:sz w:val="20"/>
        </w:rPr>
        <w:t xml:space="preserve">Руководитель</w:t>
      </w:r>
    </w:p>
    <w:p>
      <w:pPr>
        <w:pStyle w:val="1"/>
        <w:jc w:val="both"/>
      </w:pPr>
      <w:r>
        <w:rPr>
          <w:sz w:val="20"/>
        </w:rPr>
        <w:t xml:space="preserve">медицинской организации   ___________________   ___________________________</w:t>
      </w:r>
    </w:p>
    <w:p>
      <w:pPr>
        <w:pStyle w:val="1"/>
        <w:jc w:val="both"/>
      </w:pPr>
      <w:r>
        <w:rPr>
          <w:sz w:val="20"/>
        </w:rPr>
        <w:t xml:space="preserve">                               (подпись)           (расшифровка подписи)</w:t>
      </w:r>
    </w:p>
    <w:p>
      <w:pPr>
        <w:pStyle w:val="1"/>
        <w:jc w:val="both"/>
      </w:pPr>
      <w:r>
        <w:rPr>
          <w:sz w:val="20"/>
        </w:rPr>
      </w:r>
    </w:p>
    <w:p>
      <w:pPr>
        <w:pStyle w:val="1"/>
        <w:jc w:val="both"/>
      </w:pPr>
      <w:r>
        <w:rPr>
          <w:sz w:val="20"/>
        </w:rPr>
        <w:t xml:space="preserve">"__" ______ 20__ г.                        тел. ___________________________</w:t>
      </w:r>
    </w:p>
    <w:p>
      <w:pPr>
        <w:pStyle w:val="1"/>
        <w:jc w:val="both"/>
      </w:pPr>
      <w:r>
        <w:rPr>
          <w:sz w:val="20"/>
        </w:rPr>
        <w:t xml:space="preserve">                                                         N телефона</w:t>
      </w:r>
    </w:p>
    <w:p>
      <w:pPr>
        <w:pStyle w:val="1"/>
        <w:jc w:val="both"/>
      </w:pPr>
      <w:r>
        <w:rPr>
          <w:sz w:val="20"/>
        </w:rPr>
      </w:r>
    </w:p>
    <w:p>
      <w:pPr>
        <w:pStyle w:val="1"/>
        <w:jc w:val="both"/>
      </w:pPr>
      <w:r>
        <w:rPr>
          <w:sz w:val="20"/>
        </w:rPr>
        <w:t xml:space="preserve">              Исполнитель ___________________   ___________________________</w:t>
      </w:r>
    </w:p>
    <w:p>
      <w:pPr>
        <w:pStyle w:val="1"/>
        <w:jc w:val="both"/>
      </w:pPr>
      <w:r>
        <w:rPr>
          <w:sz w:val="20"/>
        </w:rPr>
        <w:t xml:space="preserve">                               (подпись)           (расшифровка подписи)</w:t>
      </w:r>
    </w:p>
    <w:p>
      <w:pPr>
        <w:pStyle w:val="1"/>
        <w:jc w:val="both"/>
      </w:pPr>
      <w:r>
        <w:rPr>
          <w:sz w:val="20"/>
        </w:rPr>
      </w:r>
    </w:p>
    <w:p>
      <w:pPr>
        <w:pStyle w:val="1"/>
        <w:jc w:val="both"/>
      </w:pPr>
      <w:r>
        <w:rPr>
          <w:sz w:val="20"/>
        </w:rPr>
        <w:t xml:space="preserve">                                           тел. ___________________________</w:t>
      </w:r>
    </w:p>
    <w:p>
      <w:pPr>
        <w:pStyle w:val="1"/>
        <w:jc w:val="both"/>
      </w:pPr>
      <w:r>
        <w:rPr>
          <w:sz w:val="20"/>
        </w:rPr>
        <w:t xml:space="preserve">                                                         N телефона</w:t>
      </w:r>
    </w:p>
    <w:p>
      <w:pPr>
        <w:pStyle w:val="1"/>
        <w:jc w:val="both"/>
      </w:pPr>
      <w:r>
        <w:rPr>
          <w:sz w:val="20"/>
        </w:rPr>
      </w:r>
    </w:p>
    <w:p>
      <w:pPr>
        <w:pStyle w:val="1"/>
        <w:jc w:val="both"/>
      </w:pPr>
      <w:r>
        <w:rPr>
          <w:sz w:val="20"/>
        </w:rPr>
        <w:t xml:space="preserve">                 СОГЛАСОВАНО</w:t>
      </w:r>
    </w:p>
    <w:p>
      <w:pPr>
        <w:pStyle w:val="1"/>
        <w:jc w:val="both"/>
      </w:pPr>
      <w:r>
        <w:rPr>
          <w:sz w:val="20"/>
        </w:rPr>
        <w:t xml:space="preserve">_____________________________________________</w:t>
      </w:r>
    </w:p>
    <w:p>
      <w:pPr>
        <w:pStyle w:val="1"/>
        <w:jc w:val="both"/>
      </w:pPr>
      <w:r>
        <w:rPr>
          <w:sz w:val="20"/>
        </w:rPr>
        <w:t xml:space="preserve">(наименование должности уполномоченного лица)</w:t>
      </w:r>
    </w:p>
    <w:p>
      <w:pPr>
        <w:pStyle w:val="1"/>
        <w:jc w:val="both"/>
      </w:pPr>
      <w:r>
        <w:rPr>
          <w:sz w:val="20"/>
        </w:rPr>
      </w:r>
    </w:p>
    <w:p>
      <w:pPr>
        <w:pStyle w:val="1"/>
        <w:jc w:val="both"/>
      </w:pPr>
      <w:r>
        <w:rPr>
          <w:sz w:val="20"/>
        </w:rPr>
        <w:t xml:space="preserve">___________________ _________________________</w:t>
      </w:r>
    </w:p>
    <w:p>
      <w:pPr>
        <w:pStyle w:val="1"/>
        <w:jc w:val="both"/>
      </w:pPr>
      <w:r>
        <w:rPr>
          <w:sz w:val="20"/>
        </w:rPr>
        <w:t xml:space="preserve">     (подпись)        (расшифровка подписи)</w:t>
      </w:r>
    </w:p>
    <w:p>
      <w:pPr>
        <w:pStyle w:val="1"/>
        <w:jc w:val="both"/>
      </w:pPr>
      <w:r>
        <w:rPr>
          <w:sz w:val="20"/>
        </w:rPr>
      </w:r>
    </w:p>
    <w:p>
      <w:pPr>
        <w:pStyle w:val="1"/>
        <w:jc w:val="both"/>
      </w:pPr>
      <w:r>
        <w:rPr>
          <w:sz w:val="20"/>
        </w:rPr>
        <w:t xml:space="preserve">                ______________</w:t>
      </w:r>
    </w:p>
    <w:p>
      <w:pPr>
        <w:pStyle w:val="1"/>
        <w:jc w:val="both"/>
      </w:pPr>
      <w:r>
        <w:rPr>
          <w:sz w:val="20"/>
        </w:rPr>
        <w:t xml:space="preserve">                    (дата)</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2"/>
        <w:jc w:val="right"/>
      </w:pPr>
      <w:r>
        <w:rPr>
          <w:sz w:val="24"/>
        </w:rPr>
        <w:t xml:space="preserve">Приложение N 9</w:t>
      </w:r>
    </w:p>
    <w:p>
      <w:pPr>
        <w:pStyle w:val="0"/>
        <w:jc w:val="right"/>
      </w:pPr>
      <w:r>
        <w:rPr>
          <w:sz w:val="24"/>
        </w:rPr>
        <w:t xml:space="preserve">к уведомлению о включении медицинской</w:t>
      </w:r>
    </w:p>
    <w:p>
      <w:pPr>
        <w:pStyle w:val="0"/>
        <w:jc w:val="right"/>
      </w:pPr>
      <w:r>
        <w:rPr>
          <w:sz w:val="24"/>
        </w:rPr>
        <w:t xml:space="preserve">организации в реестр медицинских</w:t>
      </w:r>
    </w:p>
    <w:p>
      <w:pPr>
        <w:pStyle w:val="0"/>
        <w:jc w:val="right"/>
      </w:pPr>
      <w:r>
        <w:rPr>
          <w:sz w:val="24"/>
        </w:rPr>
        <w:t xml:space="preserve">организаций, осуществляющих деятельность</w:t>
      </w:r>
    </w:p>
    <w:p>
      <w:pPr>
        <w:pStyle w:val="0"/>
        <w:jc w:val="right"/>
      </w:pPr>
      <w:r>
        <w:rPr>
          <w:sz w:val="24"/>
        </w:rPr>
        <w:t xml:space="preserve">в сфере обязательного медицинского</w:t>
      </w:r>
    </w:p>
    <w:p>
      <w:pPr>
        <w:pStyle w:val="0"/>
        <w:jc w:val="right"/>
      </w:pPr>
      <w:r>
        <w:rPr>
          <w:sz w:val="24"/>
        </w:rPr>
        <w:t xml:space="preserve">страхования по территориальной</w:t>
      </w:r>
    </w:p>
    <w:p>
      <w:pPr>
        <w:pStyle w:val="0"/>
        <w:jc w:val="right"/>
      </w:pPr>
      <w:r>
        <w:rPr>
          <w:sz w:val="24"/>
        </w:rPr>
        <w:t xml:space="preserve">программе обязательного</w:t>
      </w:r>
    </w:p>
    <w:p>
      <w:pPr>
        <w:pStyle w:val="0"/>
        <w:jc w:val="right"/>
      </w:pPr>
      <w:r>
        <w:rPr>
          <w:sz w:val="24"/>
        </w:rPr>
        <w:t xml:space="preserve">медицинского страхования</w:t>
      </w:r>
    </w:p>
    <w:p>
      <w:pPr>
        <w:pStyle w:val="0"/>
        <w:jc w:val="both"/>
      </w:pPr>
      <w:r>
        <w:rPr>
          <w:sz w:val="24"/>
        </w:rPr>
      </w:r>
    </w:p>
    <w:p>
      <w:pPr>
        <w:pStyle w:val="0"/>
        <w:jc w:val="center"/>
      </w:pPr>
      <w:r>
        <w:rPr>
          <w:sz w:val="24"/>
        </w:rPr>
        <w:t xml:space="preserve">Сведения</w:t>
      </w:r>
    </w:p>
    <w:p>
      <w:pPr>
        <w:pStyle w:val="0"/>
        <w:jc w:val="center"/>
      </w:pPr>
      <w:r>
        <w:rPr>
          <w:sz w:val="24"/>
        </w:rPr>
        <w:t xml:space="preserve">об объемах медицинской помощи в разрезе профилей, оказанной</w:t>
      </w:r>
    </w:p>
    <w:p>
      <w:pPr>
        <w:pStyle w:val="0"/>
        <w:jc w:val="center"/>
      </w:pPr>
      <w:r>
        <w:rPr>
          <w:sz w:val="24"/>
        </w:rPr>
        <w:t xml:space="preserve">медицинской организацией за счет всех источников финансового</w:t>
      </w:r>
    </w:p>
    <w:p>
      <w:pPr>
        <w:pStyle w:val="0"/>
        <w:jc w:val="center"/>
      </w:pPr>
      <w:r>
        <w:rPr>
          <w:sz w:val="24"/>
        </w:rPr>
        <w:t xml:space="preserve">обеспечения (в разрезе источников финансового обеспечения)</w:t>
      </w:r>
    </w:p>
    <w:p>
      <w:pPr>
        <w:pStyle w:val="0"/>
        <w:jc w:val="center"/>
      </w:pPr>
      <w:r>
        <w:rPr>
          <w:sz w:val="24"/>
        </w:rPr>
        <w:t xml:space="preserve">за год, предшествующий году подачи уведомления о включении</w:t>
      </w:r>
    </w:p>
    <w:p>
      <w:pPr>
        <w:pStyle w:val="0"/>
        <w:jc w:val="center"/>
      </w:pPr>
      <w:r>
        <w:rPr>
          <w:sz w:val="24"/>
        </w:rPr>
        <w:t xml:space="preserve">в реестр медицинских организаций</w:t>
      </w:r>
    </w:p>
    <w:p>
      <w:pPr>
        <w:pStyle w:val="0"/>
        <w:jc w:val="both"/>
      </w:pPr>
      <w:r>
        <w:rPr>
          <w:sz w:val="24"/>
        </w:rPr>
      </w:r>
    </w:p>
    <w:tbl>
      <w:tblPr>
        <w:tblInd w:w="0" w:type="dxa"/>
        <w:tblLayout w:type="fixed"/>
        <w:tblCellMar>
          <w:top w:w="102" w:type="dxa"/>
          <w:left w:w="62" w:type="dxa"/>
          <w:bottom w:w="102" w:type="dxa"/>
          <w:right w:w="62" w:type="dxa"/>
        </w:tblCellMar>
      </w:tblPr>
      <w:tblGrid>
        <w:gridCol w:w="2267"/>
        <w:gridCol w:w="1190"/>
        <w:gridCol w:w="340"/>
        <w:gridCol w:w="5272"/>
      </w:tblGrid>
      <w:tr>
        <w:tc>
          <w:tcPr>
            <w:tcW w:w="2267" w:type="dxa"/>
            <w:vAlign w:val="bottom"/>
            <w:tcBorders>
              <w:top w:val="nil"/>
              <w:left w:val="nil"/>
              <w:bottom w:val="nil"/>
              <w:right w:val="nil"/>
            </w:tcBorders>
          </w:tcPr>
          <w:p>
            <w:pPr>
              <w:pStyle w:val="0"/>
              <w:ind w:firstLine="283"/>
              <w:jc w:val="both"/>
            </w:pPr>
            <w:r>
              <w:rPr>
                <w:sz w:val="24"/>
              </w:rPr>
              <w:t xml:space="preserve">N уведомления</w:t>
            </w:r>
          </w:p>
        </w:tc>
        <w:tc>
          <w:tcPr>
            <w:tcW w:w="1190" w:type="dxa"/>
            <w:tcBorders>
              <w:top w:val="nil"/>
              <w:left w:val="nil"/>
              <w:bottom w:val="single" w:sz="4"/>
              <w:right w:val="nil"/>
            </w:tcBorders>
          </w:tcPr>
          <w:p>
            <w:pPr>
              <w:pStyle w:val="0"/>
            </w:pPr>
            <w:r>
              <w:rPr>
                <w:sz w:val="24"/>
              </w:rPr>
            </w:r>
          </w:p>
        </w:tc>
        <w:tc>
          <w:tcPr>
            <w:tcW w:w="340" w:type="dxa"/>
            <w:tcBorders>
              <w:top w:val="nil"/>
              <w:left w:val="nil"/>
              <w:bottom w:val="nil"/>
              <w:right w:val="nil"/>
            </w:tcBorders>
          </w:tcPr>
          <w:p>
            <w:pPr>
              <w:pStyle w:val="0"/>
            </w:pPr>
            <w:r>
              <w:rPr>
                <w:sz w:val="24"/>
              </w:rPr>
            </w:r>
          </w:p>
        </w:tc>
        <w:tc>
          <w:tcPr>
            <w:tcW w:w="5272" w:type="dxa"/>
            <w:tcBorders>
              <w:top w:val="nil"/>
              <w:left w:val="nil"/>
              <w:bottom w:val="single" w:sz="4"/>
              <w:right w:val="nil"/>
            </w:tcBorders>
          </w:tcPr>
          <w:p>
            <w:pPr>
              <w:pStyle w:val="0"/>
            </w:pPr>
            <w:r>
              <w:rPr>
                <w:sz w:val="24"/>
              </w:rPr>
            </w:r>
          </w:p>
        </w:tc>
      </w:tr>
      <w:tr>
        <w:tc>
          <w:tcPr>
            <w:gridSpan w:val="2"/>
            <w:tcW w:w="3457" w:type="dxa"/>
            <w:tcBorders>
              <w:top w:val="nil"/>
              <w:left w:val="nil"/>
              <w:bottom w:val="nil"/>
              <w:right w:val="nil"/>
            </w:tcBorders>
          </w:tcPr>
          <w:p>
            <w:pPr>
              <w:pStyle w:val="0"/>
            </w:pPr>
            <w:r>
              <w:rPr>
                <w:sz w:val="24"/>
              </w:rPr>
            </w:r>
          </w:p>
        </w:tc>
        <w:tc>
          <w:tcPr>
            <w:tcW w:w="340" w:type="dxa"/>
            <w:tcBorders>
              <w:top w:val="nil"/>
              <w:left w:val="nil"/>
              <w:bottom w:val="nil"/>
              <w:right w:val="nil"/>
            </w:tcBorders>
          </w:tcPr>
          <w:p>
            <w:pPr>
              <w:pStyle w:val="0"/>
            </w:pPr>
            <w:r>
              <w:rPr>
                <w:sz w:val="24"/>
              </w:rPr>
            </w:r>
          </w:p>
        </w:tc>
        <w:tc>
          <w:tcPr>
            <w:tcW w:w="5272" w:type="dxa"/>
            <w:tcBorders>
              <w:top w:val="single" w:sz="4"/>
              <w:left w:val="nil"/>
              <w:bottom w:val="nil"/>
              <w:right w:val="nil"/>
            </w:tcBorders>
          </w:tcPr>
          <w:p>
            <w:pPr>
              <w:pStyle w:val="0"/>
              <w:jc w:val="center"/>
            </w:pPr>
            <w:r>
              <w:rPr>
                <w:sz w:val="24"/>
              </w:rPr>
              <w:t xml:space="preserve">(наименование медицинской организации)</w:t>
            </w:r>
          </w:p>
        </w:tc>
      </w:tr>
    </w:tbl>
    <w:p>
      <w:pPr>
        <w:pStyle w:val="0"/>
        <w:jc w:val="both"/>
      </w:pPr>
      <w:r>
        <w:rPr>
          <w:sz w:val="24"/>
        </w:rPr>
      </w:r>
    </w:p>
    <w:tbl>
      <w:tblPr>
        <w:tblInd w:w="0" w:type="dxa"/>
        <w:tblLayout w:type="fixed"/>
        <w:tblBorders>
          <w:left w:val="single" w:sz="4"/>
          <w:bottom w:val="single" w:sz="4"/>
          <w:right w:val="single" w:sz="4"/>
          <w:insideV w:val="single" w:sz="4"/>
          <w:insideH w:val="single" w:sz="4"/>
        </w:tblBorders>
        <w:tblCellMar>
          <w:top w:w="102" w:type="dxa"/>
          <w:left w:w="62" w:type="dxa"/>
          <w:bottom w:w="102" w:type="dxa"/>
          <w:right w:w="62" w:type="dxa"/>
        </w:tblCellMar>
      </w:tblPr>
      <w:tblGrid>
        <w:gridCol w:w="964"/>
        <w:gridCol w:w="566"/>
        <w:gridCol w:w="963"/>
        <w:gridCol w:w="964"/>
        <w:gridCol w:w="907"/>
        <w:gridCol w:w="964"/>
        <w:gridCol w:w="907"/>
        <w:gridCol w:w="1020"/>
        <w:gridCol w:w="854"/>
        <w:gridCol w:w="964"/>
      </w:tblGrid>
      <w:tr>
        <w:tblPrEx>
          <w:tblBorders>
            <w:left w:val="nil"/>
            <w:right w:val="nil"/>
          </w:tblBorders>
        </w:tblPrEx>
        <w:tc>
          <w:tcPr>
            <w:gridSpan w:val="10"/>
            <w:tcW w:w="9073" w:type="dxa"/>
            <w:tcBorders>
              <w:top w:val="nil"/>
              <w:left w:val="nil"/>
              <w:right w:val="nil"/>
            </w:tcBorders>
          </w:tcPr>
          <w:p>
            <w:pPr>
              <w:pStyle w:val="0"/>
              <w:outlineLvl w:val="3"/>
              <w:ind w:left="283"/>
            </w:pPr>
            <w:r>
              <w:rPr>
                <w:sz w:val="24"/>
              </w:rPr>
              <w:t xml:space="preserve">Специализированная медицинская помощь. Стационарно. Без высокотехнологичной медицинской помощи (далее - ВМП)</w:t>
            </w:r>
          </w:p>
        </w:tc>
      </w:tr>
      <w:tr>
        <w:tc>
          <w:tcPr>
            <w:tcW w:w="964" w:type="dxa"/>
          </w:tcPr>
          <w:p>
            <w:pPr>
              <w:pStyle w:val="0"/>
              <w:jc w:val="center"/>
            </w:pPr>
            <w:r>
              <w:rPr>
                <w:sz w:val="24"/>
              </w:rPr>
              <w:t xml:space="preserve">Источник финансового обеспечения</w:t>
            </w:r>
          </w:p>
        </w:tc>
        <w:tc>
          <w:tcPr>
            <w:tcW w:w="566" w:type="dxa"/>
          </w:tcPr>
          <w:p>
            <w:pPr>
              <w:pStyle w:val="0"/>
              <w:jc w:val="center"/>
            </w:pPr>
            <w:r>
              <w:rPr>
                <w:sz w:val="24"/>
              </w:rPr>
              <w:t xml:space="preserve">N пп</w:t>
            </w:r>
          </w:p>
        </w:tc>
        <w:tc>
          <w:tcPr>
            <w:tcW w:w="963" w:type="dxa"/>
          </w:tcPr>
          <w:p>
            <w:pPr>
              <w:pStyle w:val="0"/>
              <w:jc w:val="center"/>
            </w:pPr>
            <w:r>
              <w:rPr>
                <w:sz w:val="24"/>
              </w:rPr>
              <w:t xml:space="preserve">Профиль медицинской помощи (Код)</w:t>
            </w:r>
          </w:p>
        </w:tc>
        <w:tc>
          <w:tcPr>
            <w:tcW w:w="964" w:type="dxa"/>
          </w:tcPr>
          <w:p>
            <w:pPr>
              <w:pStyle w:val="0"/>
              <w:jc w:val="center"/>
            </w:pPr>
            <w:r>
              <w:rPr>
                <w:sz w:val="24"/>
              </w:rPr>
              <w:t xml:space="preserve">Профиль медицинской помощи (Наименование)</w:t>
            </w:r>
          </w:p>
        </w:tc>
        <w:tc>
          <w:tcPr>
            <w:tcW w:w="907" w:type="dxa"/>
          </w:tcPr>
          <w:p>
            <w:pPr>
              <w:pStyle w:val="0"/>
              <w:jc w:val="center"/>
            </w:pPr>
            <w:r>
              <w:rPr>
                <w:sz w:val="24"/>
              </w:rPr>
              <w:t xml:space="preserve">Клинико-профильная группа (КПГ)</w:t>
            </w:r>
          </w:p>
          <w:p>
            <w:pPr>
              <w:pStyle w:val="0"/>
              <w:jc w:val="center"/>
            </w:pPr>
            <w:r>
              <w:rPr>
                <w:sz w:val="24"/>
              </w:rPr>
              <w:t xml:space="preserve">(Код)</w:t>
            </w:r>
          </w:p>
        </w:tc>
        <w:tc>
          <w:tcPr>
            <w:tcW w:w="964" w:type="dxa"/>
          </w:tcPr>
          <w:p>
            <w:pPr>
              <w:pStyle w:val="0"/>
              <w:jc w:val="center"/>
            </w:pPr>
            <w:r>
              <w:rPr>
                <w:sz w:val="24"/>
              </w:rPr>
              <w:t xml:space="preserve">Клинико-профильная группа (КПГ)</w:t>
            </w:r>
          </w:p>
          <w:p>
            <w:pPr>
              <w:pStyle w:val="0"/>
              <w:jc w:val="center"/>
            </w:pPr>
            <w:r>
              <w:rPr>
                <w:sz w:val="24"/>
              </w:rPr>
              <w:t xml:space="preserve">(Наименование)</w:t>
            </w:r>
          </w:p>
        </w:tc>
        <w:tc>
          <w:tcPr>
            <w:tcW w:w="907" w:type="dxa"/>
          </w:tcPr>
          <w:p>
            <w:pPr>
              <w:pStyle w:val="0"/>
              <w:jc w:val="center"/>
            </w:pPr>
            <w:r>
              <w:rPr>
                <w:sz w:val="24"/>
              </w:rPr>
              <w:t xml:space="preserve">Клинико-статистическая группа (КСГ)</w:t>
            </w:r>
          </w:p>
          <w:p>
            <w:pPr>
              <w:pStyle w:val="0"/>
              <w:jc w:val="center"/>
            </w:pPr>
            <w:r>
              <w:rPr>
                <w:sz w:val="24"/>
              </w:rPr>
              <w:t xml:space="preserve">(Код)</w:t>
            </w:r>
          </w:p>
        </w:tc>
        <w:tc>
          <w:tcPr>
            <w:tcW w:w="1020" w:type="dxa"/>
          </w:tcPr>
          <w:p>
            <w:pPr>
              <w:pStyle w:val="0"/>
              <w:jc w:val="center"/>
            </w:pPr>
            <w:r>
              <w:rPr>
                <w:sz w:val="24"/>
              </w:rPr>
              <w:t xml:space="preserve">Клинико-статистическая группа (КСГ)</w:t>
            </w:r>
          </w:p>
          <w:p>
            <w:pPr>
              <w:pStyle w:val="0"/>
              <w:jc w:val="center"/>
            </w:pPr>
            <w:r>
              <w:rPr>
                <w:sz w:val="24"/>
              </w:rPr>
              <w:t xml:space="preserve">(Наименование)</w:t>
            </w:r>
          </w:p>
        </w:tc>
        <w:tc>
          <w:tcPr>
            <w:tcW w:w="854" w:type="dxa"/>
          </w:tcPr>
          <w:p>
            <w:pPr>
              <w:pStyle w:val="0"/>
              <w:jc w:val="center"/>
            </w:pPr>
            <w:r>
              <w:rPr>
                <w:sz w:val="24"/>
              </w:rPr>
              <w:t xml:space="preserve">Объем медицинской помощи (случай)</w:t>
            </w:r>
          </w:p>
        </w:tc>
        <w:tc>
          <w:tcPr>
            <w:tcW w:w="964" w:type="dxa"/>
          </w:tcPr>
          <w:p>
            <w:pPr>
              <w:pStyle w:val="0"/>
              <w:jc w:val="center"/>
            </w:pPr>
            <w:r>
              <w:rPr>
                <w:sz w:val="24"/>
              </w:rPr>
              <w:t xml:space="preserve">Объем финансового обеспечения медицинской помощи (руб.)</w:t>
            </w:r>
          </w:p>
        </w:tc>
      </w:tr>
      <w:tr>
        <w:tc>
          <w:tcPr>
            <w:tcW w:w="964" w:type="dxa"/>
            <w:vMerge w:val="restart"/>
          </w:tcPr>
          <w:p>
            <w:pPr>
              <w:pStyle w:val="0"/>
            </w:pPr>
            <w:r>
              <w:rPr>
                <w:sz w:val="24"/>
              </w:rPr>
            </w:r>
          </w:p>
        </w:tc>
        <w:tc>
          <w:tcPr>
            <w:tcW w:w="566" w:type="dxa"/>
          </w:tcPr>
          <w:p>
            <w:pPr>
              <w:pStyle w:val="0"/>
            </w:pPr>
            <w:r>
              <w:rPr>
                <w:sz w:val="24"/>
              </w:rPr>
            </w:r>
          </w:p>
        </w:tc>
        <w:tc>
          <w:tcPr>
            <w:tcW w:w="963" w:type="dxa"/>
          </w:tcPr>
          <w:p>
            <w:pPr>
              <w:pStyle w:val="0"/>
            </w:pPr>
            <w:r>
              <w:rPr>
                <w:sz w:val="24"/>
              </w:rPr>
            </w:r>
          </w:p>
        </w:tc>
        <w:tc>
          <w:tcPr>
            <w:tcW w:w="964" w:type="dxa"/>
          </w:tcPr>
          <w:p>
            <w:pPr>
              <w:pStyle w:val="0"/>
            </w:pPr>
            <w:r>
              <w:rPr>
                <w:sz w:val="24"/>
              </w:rPr>
            </w:r>
          </w:p>
        </w:tc>
        <w:tc>
          <w:tcPr>
            <w:tcW w:w="907" w:type="dxa"/>
          </w:tcPr>
          <w:p>
            <w:pPr>
              <w:pStyle w:val="0"/>
            </w:pPr>
            <w:r>
              <w:rPr>
                <w:sz w:val="24"/>
              </w:rPr>
            </w:r>
          </w:p>
        </w:tc>
        <w:tc>
          <w:tcPr>
            <w:tcW w:w="964" w:type="dxa"/>
          </w:tcPr>
          <w:p>
            <w:pPr>
              <w:pStyle w:val="0"/>
            </w:pPr>
            <w:r>
              <w:rPr>
                <w:sz w:val="24"/>
              </w:rPr>
            </w:r>
          </w:p>
        </w:tc>
        <w:tc>
          <w:tcPr>
            <w:tcW w:w="907" w:type="dxa"/>
          </w:tcPr>
          <w:p>
            <w:pPr>
              <w:pStyle w:val="0"/>
            </w:pPr>
            <w:r>
              <w:rPr>
                <w:sz w:val="24"/>
              </w:rPr>
            </w:r>
          </w:p>
        </w:tc>
        <w:tc>
          <w:tcPr>
            <w:tcW w:w="1020" w:type="dxa"/>
            <w:vAlign w:val="center"/>
          </w:tcPr>
          <w:p>
            <w:pPr>
              <w:pStyle w:val="0"/>
              <w:jc w:val="center"/>
            </w:pPr>
            <w:r>
              <w:rPr>
                <w:sz w:val="24"/>
              </w:rPr>
              <w:t xml:space="preserve">Всего</w:t>
            </w:r>
          </w:p>
        </w:tc>
        <w:tc>
          <w:tcPr>
            <w:tcW w:w="854" w:type="dxa"/>
          </w:tcPr>
          <w:p>
            <w:pPr>
              <w:pStyle w:val="0"/>
            </w:pPr>
            <w:r>
              <w:rPr>
                <w:sz w:val="24"/>
              </w:rPr>
            </w:r>
          </w:p>
        </w:tc>
        <w:tc>
          <w:tcPr>
            <w:tcW w:w="964" w:type="dxa"/>
          </w:tcPr>
          <w:p>
            <w:pPr>
              <w:pStyle w:val="0"/>
            </w:pPr>
            <w:r>
              <w:rPr>
                <w:sz w:val="24"/>
              </w:rPr>
            </w:r>
          </w:p>
        </w:tc>
      </w:tr>
      <w:tr>
        <w:tc>
          <w:tcPr>
            <w:vMerge w:val="continue"/>
          </w:tcPr>
          <w:p/>
        </w:tc>
        <w:tc>
          <w:tcPr>
            <w:tcW w:w="566" w:type="dxa"/>
          </w:tcPr>
          <w:p>
            <w:pPr>
              <w:pStyle w:val="0"/>
            </w:pPr>
            <w:r>
              <w:rPr>
                <w:sz w:val="24"/>
              </w:rPr>
            </w:r>
          </w:p>
        </w:tc>
        <w:tc>
          <w:tcPr>
            <w:tcW w:w="963" w:type="dxa"/>
          </w:tcPr>
          <w:p>
            <w:pPr>
              <w:pStyle w:val="0"/>
            </w:pPr>
            <w:r>
              <w:rPr>
                <w:sz w:val="24"/>
              </w:rPr>
            </w:r>
          </w:p>
        </w:tc>
        <w:tc>
          <w:tcPr>
            <w:tcW w:w="964" w:type="dxa"/>
          </w:tcPr>
          <w:p>
            <w:pPr>
              <w:pStyle w:val="0"/>
            </w:pPr>
            <w:r>
              <w:rPr>
                <w:sz w:val="24"/>
              </w:rPr>
            </w:r>
          </w:p>
        </w:tc>
        <w:tc>
          <w:tcPr>
            <w:tcW w:w="907" w:type="dxa"/>
          </w:tcPr>
          <w:p>
            <w:pPr>
              <w:pStyle w:val="0"/>
            </w:pPr>
            <w:r>
              <w:rPr>
                <w:sz w:val="24"/>
              </w:rPr>
            </w:r>
          </w:p>
        </w:tc>
        <w:tc>
          <w:tcPr>
            <w:tcW w:w="964" w:type="dxa"/>
          </w:tcPr>
          <w:p>
            <w:pPr>
              <w:pStyle w:val="0"/>
            </w:pPr>
            <w:r>
              <w:rPr>
                <w:sz w:val="24"/>
              </w:rPr>
            </w:r>
          </w:p>
        </w:tc>
        <w:tc>
          <w:tcPr>
            <w:tcW w:w="907" w:type="dxa"/>
          </w:tcPr>
          <w:p>
            <w:pPr>
              <w:pStyle w:val="0"/>
            </w:pPr>
            <w:r>
              <w:rPr>
                <w:sz w:val="24"/>
              </w:rPr>
            </w:r>
          </w:p>
        </w:tc>
        <w:tc>
          <w:tcPr>
            <w:tcW w:w="1020" w:type="dxa"/>
            <w:vAlign w:val="center"/>
          </w:tcPr>
          <w:p>
            <w:pPr>
              <w:pStyle w:val="0"/>
            </w:pPr>
            <w:r>
              <w:rPr>
                <w:sz w:val="24"/>
              </w:rPr>
            </w:r>
          </w:p>
        </w:tc>
        <w:tc>
          <w:tcPr>
            <w:tcW w:w="854" w:type="dxa"/>
          </w:tcPr>
          <w:p>
            <w:pPr>
              <w:pStyle w:val="0"/>
            </w:pPr>
            <w:r>
              <w:rPr>
                <w:sz w:val="24"/>
              </w:rPr>
            </w:r>
          </w:p>
        </w:tc>
        <w:tc>
          <w:tcPr>
            <w:tcW w:w="964" w:type="dxa"/>
          </w:tcPr>
          <w:p>
            <w:pPr>
              <w:pStyle w:val="0"/>
            </w:pPr>
            <w:r>
              <w:rPr>
                <w:sz w:val="24"/>
              </w:rPr>
            </w:r>
          </w:p>
        </w:tc>
      </w:tr>
      <w:tr>
        <w:tc>
          <w:tcPr>
            <w:tcW w:w="964" w:type="dxa"/>
            <w:vMerge w:val="restart"/>
          </w:tcPr>
          <w:p>
            <w:pPr>
              <w:pStyle w:val="0"/>
            </w:pPr>
            <w:r>
              <w:rPr>
                <w:sz w:val="24"/>
              </w:rPr>
            </w:r>
          </w:p>
        </w:tc>
        <w:tc>
          <w:tcPr>
            <w:tcW w:w="566" w:type="dxa"/>
          </w:tcPr>
          <w:p>
            <w:pPr>
              <w:pStyle w:val="0"/>
            </w:pPr>
            <w:r>
              <w:rPr>
                <w:sz w:val="24"/>
              </w:rPr>
            </w:r>
          </w:p>
        </w:tc>
        <w:tc>
          <w:tcPr>
            <w:tcW w:w="963" w:type="dxa"/>
          </w:tcPr>
          <w:p>
            <w:pPr>
              <w:pStyle w:val="0"/>
            </w:pPr>
            <w:r>
              <w:rPr>
                <w:sz w:val="24"/>
              </w:rPr>
            </w:r>
          </w:p>
        </w:tc>
        <w:tc>
          <w:tcPr>
            <w:tcW w:w="964" w:type="dxa"/>
          </w:tcPr>
          <w:p>
            <w:pPr>
              <w:pStyle w:val="0"/>
            </w:pPr>
            <w:r>
              <w:rPr>
                <w:sz w:val="24"/>
              </w:rPr>
            </w:r>
          </w:p>
        </w:tc>
        <w:tc>
          <w:tcPr>
            <w:tcW w:w="907" w:type="dxa"/>
          </w:tcPr>
          <w:p>
            <w:pPr>
              <w:pStyle w:val="0"/>
            </w:pPr>
            <w:r>
              <w:rPr>
                <w:sz w:val="24"/>
              </w:rPr>
            </w:r>
          </w:p>
        </w:tc>
        <w:tc>
          <w:tcPr>
            <w:tcW w:w="964" w:type="dxa"/>
          </w:tcPr>
          <w:p>
            <w:pPr>
              <w:pStyle w:val="0"/>
            </w:pPr>
            <w:r>
              <w:rPr>
                <w:sz w:val="24"/>
              </w:rPr>
            </w:r>
          </w:p>
        </w:tc>
        <w:tc>
          <w:tcPr>
            <w:tcW w:w="907" w:type="dxa"/>
          </w:tcPr>
          <w:p>
            <w:pPr>
              <w:pStyle w:val="0"/>
            </w:pPr>
            <w:r>
              <w:rPr>
                <w:sz w:val="24"/>
              </w:rPr>
            </w:r>
          </w:p>
        </w:tc>
        <w:tc>
          <w:tcPr>
            <w:tcW w:w="1020" w:type="dxa"/>
            <w:vAlign w:val="center"/>
          </w:tcPr>
          <w:p>
            <w:pPr>
              <w:pStyle w:val="0"/>
              <w:jc w:val="center"/>
            </w:pPr>
            <w:r>
              <w:rPr>
                <w:sz w:val="24"/>
              </w:rPr>
              <w:t xml:space="preserve">Всего</w:t>
            </w:r>
          </w:p>
        </w:tc>
        <w:tc>
          <w:tcPr>
            <w:tcW w:w="854" w:type="dxa"/>
          </w:tcPr>
          <w:p>
            <w:pPr>
              <w:pStyle w:val="0"/>
            </w:pPr>
            <w:r>
              <w:rPr>
                <w:sz w:val="24"/>
              </w:rPr>
            </w:r>
          </w:p>
        </w:tc>
        <w:tc>
          <w:tcPr>
            <w:tcW w:w="964" w:type="dxa"/>
          </w:tcPr>
          <w:p>
            <w:pPr>
              <w:pStyle w:val="0"/>
            </w:pPr>
            <w:r>
              <w:rPr>
                <w:sz w:val="24"/>
              </w:rPr>
            </w:r>
          </w:p>
        </w:tc>
      </w:tr>
      <w:tr>
        <w:tc>
          <w:tcPr>
            <w:vMerge w:val="continue"/>
          </w:tcPr>
          <w:p/>
        </w:tc>
        <w:tc>
          <w:tcPr>
            <w:tcW w:w="566" w:type="dxa"/>
          </w:tcPr>
          <w:p>
            <w:pPr>
              <w:pStyle w:val="0"/>
            </w:pPr>
            <w:r>
              <w:rPr>
                <w:sz w:val="24"/>
              </w:rPr>
            </w:r>
          </w:p>
        </w:tc>
        <w:tc>
          <w:tcPr>
            <w:tcW w:w="963" w:type="dxa"/>
          </w:tcPr>
          <w:p>
            <w:pPr>
              <w:pStyle w:val="0"/>
            </w:pPr>
            <w:r>
              <w:rPr>
                <w:sz w:val="24"/>
              </w:rPr>
            </w:r>
          </w:p>
        </w:tc>
        <w:tc>
          <w:tcPr>
            <w:tcW w:w="964" w:type="dxa"/>
          </w:tcPr>
          <w:p>
            <w:pPr>
              <w:pStyle w:val="0"/>
            </w:pPr>
            <w:r>
              <w:rPr>
                <w:sz w:val="24"/>
              </w:rPr>
            </w:r>
          </w:p>
        </w:tc>
        <w:tc>
          <w:tcPr>
            <w:tcW w:w="907" w:type="dxa"/>
          </w:tcPr>
          <w:p>
            <w:pPr>
              <w:pStyle w:val="0"/>
            </w:pPr>
            <w:r>
              <w:rPr>
                <w:sz w:val="24"/>
              </w:rPr>
            </w:r>
          </w:p>
        </w:tc>
        <w:tc>
          <w:tcPr>
            <w:tcW w:w="964" w:type="dxa"/>
          </w:tcPr>
          <w:p>
            <w:pPr>
              <w:pStyle w:val="0"/>
            </w:pPr>
            <w:r>
              <w:rPr>
                <w:sz w:val="24"/>
              </w:rPr>
            </w:r>
          </w:p>
        </w:tc>
        <w:tc>
          <w:tcPr>
            <w:tcW w:w="907" w:type="dxa"/>
          </w:tcPr>
          <w:p>
            <w:pPr>
              <w:pStyle w:val="0"/>
            </w:pPr>
            <w:r>
              <w:rPr>
                <w:sz w:val="24"/>
              </w:rPr>
            </w:r>
          </w:p>
        </w:tc>
        <w:tc>
          <w:tcPr>
            <w:tcW w:w="1020" w:type="dxa"/>
            <w:vAlign w:val="center"/>
          </w:tcPr>
          <w:p>
            <w:pPr>
              <w:pStyle w:val="0"/>
            </w:pPr>
            <w:r>
              <w:rPr>
                <w:sz w:val="24"/>
              </w:rPr>
            </w:r>
          </w:p>
        </w:tc>
        <w:tc>
          <w:tcPr>
            <w:tcW w:w="854" w:type="dxa"/>
          </w:tcPr>
          <w:p>
            <w:pPr>
              <w:pStyle w:val="0"/>
            </w:pPr>
            <w:r>
              <w:rPr>
                <w:sz w:val="24"/>
              </w:rPr>
            </w:r>
          </w:p>
        </w:tc>
        <w:tc>
          <w:tcPr>
            <w:tcW w:w="964" w:type="dxa"/>
          </w:tcPr>
          <w:p>
            <w:pPr>
              <w:pStyle w:val="0"/>
            </w:pPr>
            <w:r>
              <w:rPr>
                <w:sz w:val="24"/>
              </w:rPr>
            </w:r>
          </w:p>
        </w:tc>
      </w:tr>
      <w:tr>
        <w:tc>
          <w:tcPr>
            <w:tcW w:w="964" w:type="dxa"/>
            <w:vMerge w:val="restart"/>
          </w:tcPr>
          <w:p>
            <w:pPr>
              <w:pStyle w:val="0"/>
            </w:pPr>
            <w:r>
              <w:rPr>
                <w:sz w:val="24"/>
              </w:rPr>
            </w:r>
          </w:p>
        </w:tc>
        <w:tc>
          <w:tcPr>
            <w:tcW w:w="566" w:type="dxa"/>
          </w:tcPr>
          <w:p>
            <w:pPr>
              <w:pStyle w:val="0"/>
            </w:pPr>
            <w:r>
              <w:rPr>
                <w:sz w:val="24"/>
              </w:rPr>
            </w:r>
          </w:p>
        </w:tc>
        <w:tc>
          <w:tcPr>
            <w:tcW w:w="963" w:type="dxa"/>
          </w:tcPr>
          <w:p>
            <w:pPr>
              <w:pStyle w:val="0"/>
            </w:pPr>
            <w:r>
              <w:rPr>
                <w:sz w:val="24"/>
              </w:rPr>
            </w:r>
          </w:p>
        </w:tc>
        <w:tc>
          <w:tcPr>
            <w:tcW w:w="964" w:type="dxa"/>
          </w:tcPr>
          <w:p>
            <w:pPr>
              <w:pStyle w:val="0"/>
            </w:pPr>
            <w:r>
              <w:rPr>
                <w:sz w:val="24"/>
              </w:rPr>
            </w:r>
          </w:p>
        </w:tc>
        <w:tc>
          <w:tcPr>
            <w:tcW w:w="907" w:type="dxa"/>
          </w:tcPr>
          <w:p>
            <w:pPr>
              <w:pStyle w:val="0"/>
            </w:pPr>
            <w:r>
              <w:rPr>
                <w:sz w:val="24"/>
              </w:rPr>
            </w:r>
          </w:p>
        </w:tc>
        <w:tc>
          <w:tcPr>
            <w:tcW w:w="964" w:type="dxa"/>
          </w:tcPr>
          <w:p>
            <w:pPr>
              <w:pStyle w:val="0"/>
            </w:pPr>
            <w:r>
              <w:rPr>
                <w:sz w:val="24"/>
              </w:rPr>
            </w:r>
          </w:p>
        </w:tc>
        <w:tc>
          <w:tcPr>
            <w:tcW w:w="907" w:type="dxa"/>
          </w:tcPr>
          <w:p>
            <w:pPr>
              <w:pStyle w:val="0"/>
            </w:pPr>
            <w:r>
              <w:rPr>
                <w:sz w:val="24"/>
              </w:rPr>
            </w:r>
          </w:p>
        </w:tc>
        <w:tc>
          <w:tcPr>
            <w:tcW w:w="1020" w:type="dxa"/>
            <w:vAlign w:val="center"/>
          </w:tcPr>
          <w:p>
            <w:pPr>
              <w:pStyle w:val="0"/>
              <w:jc w:val="center"/>
            </w:pPr>
            <w:r>
              <w:rPr>
                <w:sz w:val="24"/>
              </w:rPr>
              <w:t xml:space="preserve">Всего</w:t>
            </w:r>
          </w:p>
        </w:tc>
        <w:tc>
          <w:tcPr>
            <w:tcW w:w="854" w:type="dxa"/>
          </w:tcPr>
          <w:p>
            <w:pPr>
              <w:pStyle w:val="0"/>
            </w:pPr>
            <w:r>
              <w:rPr>
                <w:sz w:val="24"/>
              </w:rPr>
            </w:r>
          </w:p>
        </w:tc>
        <w:tc>
          <w:tcPr>
            <w:tcW w:w="964" w:type="dxa"/>
          </w:tcPr>
          <w:p>
            <w:pPr>
              <w:pStyle w:val="0"/>
            </w:pPr>
            <w:r>
              <w:rPr>
                <w:sz w:val="24"/>
              </w:rPr>
            </w:r>
          </w:p>
        </w:tc>
      </w:tr>
      <w:tr>
        <w:tc>
          <w:tcPr>
            <w:vMerge w:val="continue"/>
          </w:tcPr>
          <w:p/>
        </w:tc>
        <w:tc>
          <w:tcPr>
            <w:tcW w:w="566" w:type="dxa"/>
          </w:tcPr>
          <w:p>
            <w:pPr>
              <w:pStyle w:val="0"/>
            </w:pPr>
            <w:r>
              <w:rPr>
                <w:sz w:val="24"/>
              </w:rPr>
            </w:r>
          </w:p>
        </w:tc>
        <w:tc>
          <w:tcPr>
            <w:tcW w:w="963" w:type="dxa"/>
          </w:tcPr>
          <w:p>
            <w:pPr>
              <w:pStyle w:val="0"/>
            </w:pPr>
            <w:r>
              <w:rPr>
                <w:sz w:val="24"/>
              </w:rPr>
            </w:r>
          </w:p>
        </w:tc>
        <w:tc>
          <w:tcPr>
            <w:tcW w:w="964" w:type="dxa"/>
          </w:tcPr>
          <w:p>
            <w:pPr>
              <w:pStyle w:val="0"/>
            </w:pPr>
            <w:r>
              <w:rPr>
                <w:sz w:val="24"/>
              </w:rPr>
            </w:r>
          </w:p>
        </w:tc>
        <w:tc>
          <w:tcPr>
            <w:tcW w:w="907" w:type="dxa"/>
          </w:tcPr>
          <w:p>
            <w:pPr>
              <w:pStyle w:val="0"/>
            </w:pPr>
            <w:r>
              <w:rPr>
                <w:sz w:val="24"/>
              </w:rPr>
            </w:r>
          </w:p>
        </w:tc>
        <w:tc>
          <w:tcPr>
            <w:tcW w:w="964" w:type="dxa"/>
          </w:tcPr>
          <w:p>
            <w:pPr>
              <w:pStyle w:val="0"/>
            </w:pPr>
            <w:r>
              <w:rPr>
                <w:sz w:val="24"/>
              </w:rPr>
            </w:r>
          </w:p>
        </w:tc>
        <w:tc>
          <w:tcPr>
            <w:tcW w:w="907" w:type="dxa"/>
          </w:tcPr>
          <w:p>
            <w:pPr>
              <w:pStyle w:val="0"/>
            </w:pPr>
            <w:r>
              <w:rPr>
                <w:sz w:val="24"/>
              </w:rPr>
            </w:r>
          </w:p>
        </w:tc>
        <w:tc>
          <w:tcPr>
            <w:tcW w:w="1020" w:type="dxa"/>
          </w:tcPr>
          <w:p>
            <w:pPr>
              <w:pStyle w:val="0"/>
            </w:pPr>
            <w:r>
              <w:rPr>
                <w:sz w:val="24"/>
              </w:rPr>
            </w:r>
          </w:p>
        </w:tc>
        <w:tc>
          <w:tcPr>
            <w:tcW w:w="854" w:type="dxa"/>
          </w:tcPr>
          <w:p>
            <w:pPr>
              <w:pStyle w:val="0"/>
            </w:pPr>
            <w:r>
              <w:rPr>
                <w:sz w:val="24"/>
              </w:rPr>
            </w:r>
          </w:p>
        </w:tc>
        <w:tc>
          <w:tcPr>
            <w:tcW w:w="964" w:type="dxa"/>
          </w:tcPr>
          <w:p>
            <w:pPr>
              <w:pStyle w:val="0"/>
            </w:pPr>
            <w:r>
              <w:rPr>
                <w:sz w:val="24"/>
              </w:rPr>
            </w:r>
          </w:p>
        </w:tc>
      </w:tr>
    </w:tbl>
    <w:p>
      <w:pPr>
        <w:pStyle w:val="0"/>
        <w:jc w:val="both"/>
      </w:pPr>
      <w:r>
        <w:rPr>
          <w:sz w:val="24"/>
        </w:rPr>
      </w:r>
    </w:p>
    <w:tbl>
      <w:tblPr>
        <w:tblInd w:w="0" w:type="dxa"/>
        <w:tblLayout w:type="fixed"/>
        <w:tblBorders>
          <w:left w:val="single" w:sz="4"/>
          <w:bottom w:val="single" w:sz="4"/>
          <w:right w:val="single" w:sz="4"/>
          <w:insideV w:val="single" w:sz="4"/>
          <w:insideH w:val="single" w:sz="4"/>
        </w:tblBorders>
        <w:tblCellMar>
          <w:top w:w="102" w:type="dxa"/>
          <w:left w:w="62" w:type="dxa"/>
          <w:bottom w:w="102" w:type="dxa"/>
          <w:right w:w="62" w:type="dxa"/>
        </w:tblCellMar>
      </w:tblPr>
      <w:tblGrid>
        <w:gridCol w:w="964"/>
        <w:gridCol w:w="566"/>
        <w:gridCol w:w="1190"/>
        <w:gridCol w:w="1531"/>
        <w:gridCol w:w="1077"/>
        <w:gridCol w:w="907"/>
        <w:gridCol w:w="1191"/>
        <w:gridCol w:w="1644"/>
      </w:tblGrid>
      <w:tr>
        <w:tblPrEx>
          <w:tblBorders>
            <w:left w:val="nil"/>
            <w:right w:val="nil"/>
          </w:tblBorders>
        </w:tblPrEx>
        <w:tc>
          <w:tcPr>
            <w:gridSpan w:val="8"/>
            <w:tcW w:w="9070" w:type="dxa"/>
            <w:tcBorders>
              <w:top w:val="nil"/>
              <w:left w:val="nil"/>
              <w:right w:val="nil"/>
            </w:tcBorders>
          </w:tcPr>
          <w:p>
            <w:pPr>
              <w:pStyle w:val="0"/>
              <w:outlineLvl w:val="3"/>
              <w:ind w:firstLine="283"/>
              <w:jc w:val="both"/>
            </w:pPr>
            <w:r>
              <w:rPr>
                <w:sz w:val="24"/>
              </w:rPr>
              <w:t xml:space="preserve">Специализированная медицинская помощь. Стационарно. ВМП</w:t>
            </w:r>
          </w:p>
        </w:tc>
      </w:tr>
      <w:tr>
        <w:tc>
          <w:tcPr>
            <w:tcW w:w="964" w:type="dxa"/>
          </w:tcPr>
          <w:p>
            <w:pPr>
              <w:pStyle w:val="0"/>
              <w:jc w:val="center"/>
            </w:pPr>
            <w:r>
              <w:rPr>
                <w:sz w:val="24"/>
              </w:rPr>
              <w:t xml:space="preserve">Источник финансового обеспечения</w:t>
            </w:r>
          </w:p>
        </w:tc>
        <w:tc>
          <w:tcPr>
            <w:tcW w:w="566" w:type="dxa"/>
          </w:tcPr>
          <w:p>
            <w:pPr>
              <w:pStyle w:val="0"/>
              <w:jc w:val="center"/>
            </w:pPr>
            <w:r>
              <w:rPr>
                <w:sz w:val="24"/>
              </w:rPr>
              <w:t xml:space="preserve">N пп</w:t>
            </w:r>
          </w:p>
        </w:tc>
        <w:tc>
          <w:tcPr>
            <w:tcW w:w="1190" w:type="dxa"/>
          </w:tcPr>
          <w:p>
            <w:pPr>
              <w:pStyle w:val="0"/>
              <w:jc w:val="center"/>
            </w:pPr>
            <w:r>
              <w:rPr>
                <w:sz w:val="24"/>
              </w:rPr>
              <w:t xml:space="preserve">(Профиль медицинской помощи)</w:t>
            </w:r>
          </w:p>
          <w:p>
            <w:pPr>
              <w:pStyle w:val="0"/>
              <w:jc w:val="center"/>
            </w:pPr>
            <w:r>
              <w:rPr>
                <w:sz w:val="24"/>
              </w:rPr>
              <w:t xml:space="preserve">Код</w:t>
            </w:r>
          </w:p>
        </w:tc>
        <w:tc>
          <w:tcPr>
            <w:tcW w:w="1531" w:type="dxa"/>
          </w:tcPr>
          <w:p>
            <w:pPr>
              <w:pStyle w:val="0"/>
              <w:jc w:val="center"/>
            </w:pPr>
            <w:r>
              <w:rPr>
                <w:sz w:val="24"/>
              </w:rPr>
              <w:t xml:space="preserve">(Профиль медицинской помощи)</w:t>
            </w:r>
          </w:p>
          <w:p>
            <w:pPr>
              <w:pStyle w:val="0"/>
              <w:jc w:val="center"/>
            </w:pPr>
            <w:r>
              <w:rPr>
                <w:sz w:val="24"/>
              </w:rPr>
              <w:t xml:space="preserve">Наименование</w:t>
            </w:r>
          </w:p>
        </w:tc>
        <w:tc>
          <w:tcPr>
            <w:tcW w:w="1077" w:type="dxa"/>
          </w:tcPr>
          <w:p>
            <w:pPr>
              <w:pStyle w:val="0"/>
              <w:jc w:val="center"/>
            </w:pPr>
            <w:r>
              <w:rPr>
                <w:sz w:val="24"/>
              </w:rPr>
              <w:t xml:space="preserve">Номер группы ВМП</w:t>
            </w:r>
          </w:p>
        </w:tc>
        <w:tc>
          <w:tcPr>
            <w:tcW w:w="907" w:type="dxa"/>
          </w:tcPr>
          <w:p>
            <w:pPr>
              <w:pStyle w:val="0"/>
              <w:jc w:val="center"/>
            </w:pPr>
            <w:r>
              <w:rPr>
                <w:sz w:val="24"/>
              </w:rPr>
              <w:t xml:space="preserve">Вид ВМП</w:t>
            </w:r>
          </w:p>
        </w:tc>
        <w:tc>
          <w:tcPr>
            <w:tcW w:w="1191" w:type="dxa"/>
          </w:tcPr>
          <w:p>
            <w:pPr>
              <w:pStyle w:val="0"/>
              <w:jc w:val="center"/>
            </w:pPr>
            <w:r>
              <w:rPr>
                <w:sz w:val="24"/>
              </w:rPr>
              <w:t xml:space="preserve">Объем медицинской помощи (случай)</w:t>
            </w:r>
          </w:p>
        </w:tc>
        <w:tc>
          <w:tcPr>
            <w:tcW w:w="1644" w:type="dxa"/>
          </w:tcPr>
          <w:p>
            <w:pPr>
              <w:pStyle w:val="0"/>
              <w:jc w:val="center"/>
            </w:pPr>
            <w:r>
              <w:rPr>
                <w:sz w:val="24"/>
              </w:rPr>
              <w:t xml:space="preserve">Объем финансового обеспечения медицинской помощи (руб.)</w:t>
            </w:r>
          </w:p>
        </w:tc>
      </w:tr>
      <w:tr>
        <w:tc>
          <w:tcPr>
            <w:tcW w:w="964" w:type="dxa"/>
            <w:vMerge w:val="restart"/>
          </w:tcPr>
          <w:p>
            <w:pPr>
              <w:pStyle w:val="0"/>
            </w:pPr>
            <w:r>
              <w:rPr>
                <w:sz w:val="24"/>
              </w:rPr>
            </w:r>
          </w:p>
        </w:tc>
        <w:tc>
          <w:tcPr>
            <w:tcW w:w="566" w:type="dxa"/>
          </w:tcPr>
          <w:p>
            <w:pPr>
              <w:pStyle w:val="0"/>
            </w:pPr>
            <w:r>
              <w:rPr>
                <w:sz w:val="24"/>
              </w:rPr>
            </w:r>
          </w:p>
        </w:tc>
        <w:tc>
          <w:tcPr>
            <w:tcW w:w="1190" w:type="dxa"/>
          </w:tcPr>
          <w:p>
            <w:pPr>
              <w:pStyle w:val="0"/>
            </w:pPr>
            <w:r>
              <w:rPr>
                <w:sz w:val="24"/>
              </w:rPr>
            </w:r>
          </w:p>
        </w:tc>
        <w:tc>
          <w:tcPr>
            <w:tcW w:w="1531" w:type="dxa"/>
          </w:tcPr>
          <w:p>
            <w:pPr>
              <w:pStyle w:val="0"/>
            </w:pPr>
            <w:r>
              <w:rPr>
                <w:sz w:val="24"/>
              </w:rPr>
            </w:r>
          </w:p>
        </w:tc>
        <w:tc>
          <w:tcPr>
            <w:tcW w:w="1077" w:type="dxa"/>
          </w:tcPr>
          <w:p>
            <w:pPr>
              <w:pStyle w:val="0"/>
            </w:pPr>
            <w:r>
              <w:rPr>
                <w:sz w:val="24"/>
              </w:rPr>
            </w:r>
          </w:p>
        </w:tc>
        <w:tc>
          <w:tcPr>
            <w:tcW w:w="907" w:type="dxa"/>
            <w:vAlign w:val="center"/>
          </w:tcPr>
          <w:p>
            <w:pPr>
              <w:pStyle w:val="0"/>
              <w:jc w:val="center"/>
            </w:pPr>
            <w:r>
              <w:rPr>
                <w:sz w:val="24"/>
              </w:rPr>
              <w:t xml:space="preserve">Всего</w:t>
            </w:r>
          </w:p>
        </w:tc>
        <w:tc>
          <w:tcPr>
            <w:tcW w:w="1191" w:type="dxa"/>
          </w:tcPr>
          <w:p>
            <w:pPr>
              <w:pStyle w:val="0"/>
            </w:pPr>
            <w:r>
              <w:rPr>
                <w:sz w:val="24"/>
              </w:rPr>
            </w:r>
          </w:p>
        </w:tc>
        <w:tc>
          <w:tcPr>
            <w:tcW w:w="1644" w:type="dxa"/>
          </w:tcPr>
          <w:p>
            <w:pPr>
              <w:pStyle w:val="0"/>
            </w:pPr>
            <w:r>
              <w:rPr>
                <w:sz w:val="24"/>
              </w:rPr>
            </w:r>
          </w:p>
        </w:tc>
      </w:tr>
      <w:tr>
        <w:tc>
          <w:tcPr>
            <w:vMerge w:val="continue"/>
          </w:tcPr>
          <w:p/>
        </w:tc>
        <w:tc>
          <w:tcPr>
            <w:tcW w:w="566" w:type="dxa"/>
          </w:tcPr>
          <w:p>
            <w:pPr>
              <w:pStyle w:val="0"/>
            </w:pPr>
            <w:r>
              <w:rPr>
                <w:sz w:val="24"/>
              </w:rPr>
            </w:r>
          </w:p>
        </w:tc>
        <w:tc>
          <w:tcPr>
            <w:tcW w:w="1190" w:type="dxa"/>
          </w:tcPr>
          <w:p>
            <w:pPr>
              <w:pStyle w:val="0"/>
            </w:pPr>
            <w:r>
              <w:rPr>
                <w:sz w:val="24"/>
              </w:rPr>
            </w:r>
          </w:p>
        </w:tc>
        <w:tc>
          <w:tcPr>
            <w:tcW w:w="1531" w:type="dxa"/>
          </w:tcPr>
          <w:p>
            <w:pPr>
              <w:pStyle w:val="0"/>
            </w:pPr>
            <w:r>
              <w:rPr>
                <w:sz w:val="24"/>
              </w:rPr>
            </w:r>
          </w:p>
        </w:tc>
        <w:tc>
          <w:tcPr>
            <w:tcW w:w="1077" w:type="dxa"/>
          </w:tcPr>
          <w:p>
            <w:pPr>
              <w:pStyle w:val="0"/>
            </w:pPr>
            <w:r>
              <w:rPr>
                <w:sz w:val="24"/>
              </w:rPr>
            </w:r>
          </w:p>
        </w:tc>
        <w:tc>
          <w:tcPr>
            <w:tcW w:w="907" w:type="dxa"/>
            <w:vAlign w:val="center"/>
          </w:tcPr>
          <w:p>
            <w:pPr>
              <w:pStyle w:val="0"/>
            </w:pPr>
            <w:r>
              <w:rPr>
                <w:sz w:val="24"/>
              </w:rPr>
            </w:r>
          </w:p>
        </w:tc>
        <w:tc>
          <w:tcPr>
            <w:tcW w:w="1191" w:type="dxa"/>
          </w:tcPr>
          <w:p>
            <w:pPr>
              <w:pStyle w:val="0"/>
            </w:pPr>
            <w:r>
              <w:rPr>
                <w:sz w:val="24"/>
              </w:rPr>
            </w:r>
          </w:p>
        </w:tc>
        <w:tc>
          <w:tcPr>
            <w:tcW w:w="1644" w:type="dxa"/>
          </w:tcPr>
          <w:p>
            <w:pPr>
              <w:pStyle w:val="0"/>
            </w:pPr>
            <w:r>
              <w:rPr>
                <w:sz w:val="24"/>
              </w:rPr>
            </w:r>
          </w:p>
        </w:tc>
      </w:tr>
      <w:tr>
        <w:tc>
          <w:tcPr>
            <w:tcW w:w="964" w:type="dxa"/>
            <w:vMerge w:val="restart"/>
          </w:tcPr>
          <w:p>
            <w:pPr>
              <w:pStyle w:val="0"/>
            </w:pPr>
            <w:r>
              <w:rPr>
                <w:sz w:val="24"/>
              </w:rPr>
            </w:r>
          </w:p>
        </w:tc>
        <w:tc>
          <w:tcPr>
            <w:tcW w:w="566" w:type="dxa"/>
          </w:tcPr>
          <w:p>
            <w:pPr>
              <w:pStyle w:val="0"/>
            </w:pPr>
            <w:r>
              <w:rPr>
                <w:sz w:val="24"/>
              </w:rPr>
            </w:r>
          </w:p>
        </w:tc>
        <w:tc>
          <w:tcPr>
            <w:tcW w:w="1190" w:type="dxa"/>
          </w:tcPr>
          <w:p>
            <w:pPr>
              <w:pStyle w:val="0"/>
            </w:pPr>
            <w:r>
              <w:rPr>
                <w:sz w:val="24"/>
              </w:rPr>
            </w:r>
          </w:p>
        </w:tc>
        <w:tc>
          <w:tcPr>
            <w:tcW w:w="1531" w:type="dxa"/>
          </w:tcPr>
          <w:p>
            <w:pPr>
              <w:pStyle w:val="0"/>
            </w:pPr>
            <w:r>
              <w:rPr>
                <w:sz w:val="24"/>
              </w:rPr>
            </w:r>
          </w:p>
        </w:tc>
        <w:tc>
          <w:tcPr>
            <w:tcW w:w="1077" w:type="dxa"/>
          </w:tcPr>
          <w:p>
            <w:pPr>
              <w:pStyle w:val="0"/>
            </w:pPr>
            <w:r>
              <w:rPr>
                <w:sz w:val="24"/>
              </w:rPr>
            </w:r>
          </w:p>
        </w:tc>
        <w:tc>
          <w:tcPr>
            <w:tcW w:w="907" w:type="dxa"/>
            <w:vAlign w:val="center"/>
          </w:tcPr>
          <w:p>
            <w:pPr>
              <w:pStyle w:val="0"/>
              <w:jc w:val="center"/>
            </w:pPr>
            <w:r>
              <w:rPr>
                <w:sz w:val="24"/>
              </w:rPr>
              <w:t xml:space="preserve">Всего</w:t>
            </w:r>
          </w:p>
        </w:tc>
        <w:tc>
          <w:tcPr>
            <w:tcW w:w="1191" w:type="dxa"/>
          </w:tcPr>
          <w:p>
            <w:pPr>
              <w:pStyle w:val="0"/>
            </w:pPr>
            <w:r>
              <w:rPr>
                <w:sz w:val="24"/>
              </w:rPr>
            </w:r>
          </w:p>
        </w:tc>
        <w:tc>
          <w:tcPr>
            <w:tcW w:w="1644" w:type="dxa"/>
          </w:tcPr>
          <w:p>
            <w:pPr>
              <w:pStyle w:val="0"/>
            </w:pPr>
            <w:r>
              <w:rPr>
                <w:sz w:val="24"/>
              </w:rPr>
            </w:r>
          </w:p>
        </w:tc>
      </w:tr>
      <w:tr>
        <w:tc>
          <w:tcPr>
            <w:vMerge w:val="continue"/>
          </w:tcPr>
          <w:p/>
        </w:tc>
        <w:tc>
          <w:tcPr>
            <w:tcW w:w="566" w:type="dxa"/>
          </w:tcPr>
          <w:p>
            <w:pPr>
              <w:pStyle w:val="0"/>
            </w:pPr>
            <w:r>
              <w:rPr>
                <w:sz w:val="24"/>
              </w:rPr>
            </w:r>
          </w:p>
        </w:tc>
        <w:tc>
          <w:tcPr>
            <w:tcW w:w="1190" w:type="dxa"/>
          </w:tcPr>
          <w:p>
            <w:pPr>
              <w:pStyle w:val="0"/>
            </w:pPr>
            <w:r>
              <w:rPr>
                <w:sz w:val="24"/>
              </w:rPr>
            </w:r>
          </w:p>
        </w:tc>
        <w:tc>
          <w:tcPr>
            <w:tcW w:w="1531" w:type="dxa"/>
          </w:tcPr>
          <w:p>
            <w:pPr>
              <w:pStyle w:val="0"/>
            </w:pPr>
            <w:r>
              <w:rPr>
                <w:sz w:val="24"/>
              </w:rPr>
            </w:r>
          </w:p>
        </w:tc>
        <w:tc>
          <w:tcPr>
            <w:tcW w:w="1077" w:type="dxa"/>
          </w:tcPr>
          <w:p>
            <w:pPr>
              <w:pStyle w:val="0"/>
            </w:pPr>
            <w:r>
              <w:rPr>
                <w:sz w:val="24"/>
              </w:rPr>
            </w:r>
          </w:p>
        </w:tc>
        <w:tc>
          <w:tcPr>
            <w:tcW w:w="907" w:type="dxa"/>
            <w:vAlign w:val="center"/>
          </w:tcPr>
          <w:p>
            <w:pPr>
              <w:pStyle w:val="0"/>
            </w:pPr>
            <w:r>
              <w:rPr>
                <w:sz w:val="24"/>
              </w:rPr>
            </w:r>
          </w:p>
        </w:tc>
        <w:tc>
          <w:tcPr>
            <w:tcW w:w="1191" w:type="dxa"/>
          </w:tcPr>
          <w:p>
            <w:pPr>
              <w:pStyle w:val="0"/>
            </w:pPr>
            <w:r>
              <w:rPr>
                <w:sz w:val="24"/>
              </w:rPr>
            </w:r>
          </w:p>
        </w:tc>
        <w:tc>
          <w:tcPr>
            <w:tcW w:w="1644" w:type="dxa"/>
          </w:tcPr>
          <w:p>
            <w:pPr>
              <w:pStyle w:val="0"/>
            </w:pPr>
            <w:r>
              <w:rPr>
                <w:sz w:val="24"/>
              </w:rPr>
            </w:r>
          </w:p>
        </w:tc>
      </w:tr>
      <w:tr>
        <w:tc>
          <w:tcPr>
            <w:tcW w:w="964" w:type="dxa"/>
          </w:tcPr>
          <w:p>
            <w:pPr>
              <w:pStyle w:val="0"/>
            </w:pPr>
            <w:r>
              <w:rPr>
                <w:sz w:val="24"/>
              </w:rPr>
            </w:r>
          </w:p>
        </w:tc>
        <w:tc>
          <w:tcPr>
            <w:tcW w:w="566" w:type="dxa"/>
          </w:tcPr>
          <w:p>
            <w:pPr>
              <w:pStyle w:val="0"/>
            </w:pPr>
            <w:r>
              <w:rPr>
                <w:sz w:val="24"/>
              </w:rPr>
            </w:r>
          </w:p>
        </w:tc>
        <w:tc>
          <w:tcPr>
            <w:tcW w:w="1190" w:type="dxa"/>
          </w:tcPr>
          <w:p>
            <w:pPr>
              <w:pStyle w:val="0"/>
            </w:pPr>
            <w:r>
              <w:rPr>
                <w:sz w:val="24"/>
              </w:rPr>
            </w:r>
          </w:p>
        </w:tc>
        <w:tc>
          <w:tcPr>
            <w:tcW w:w="1531" w:type="dxa"/>
          </w:tcPr>
          <w:p>
            <w:pPr>
              <w:pStyle w:val="0"/>
            </w:pPr>
            <w:r>
              <w:rPr>
                <w:sz w:val="24"/>
              </w:rPr>
            </w:r>
          </w:p>
        </w:tc>
        <w:tc>
          <w:tcPr>
            <w:tcW w:w="1077" w:type="dxa"/>
          </w:tcPr>
          <w:p>
            <w:pPr>
              <w:pStyle w:val="0"/>
            </w:pPr>
            <w:r>
              <w:rPr>
                <w:sz w:val="24"/>
              </w:rPr>
            </w:r>
          </w:p>
        </w:tc>
        <w:tc>
          <w:tcPr>
            <w:tcW w:w="907" w:type="dxa"/>
            <w:vAlign w:val="center"/>
          </w:tcPr>
          <w:p>
            <w:pPr>
              <w:pStyle w:val="0"/>
              <w:jc w:val="center"/>
            </w:pPr>
            <w:r>
              <w:rPr>
                <w:sz w:val="24"/>
              </w:rPr>
              <w:t xml:space="preserve">Всего</w:t>
            </w:r>
          </w:p>
        </w:tc>
        <w:tc>
          <w:tcPr>
            <w:tcW w:w="1191" w:type="dxa"/>
          </w:tcPr>
          <w:p>
            <w:pPr>
              <w:pStyle w:val="0"/>
            </w:pPr>
            <w:r>
              <w:rPr>
                <w:sz w:val="24"/>
              </w:rPr>
            </w:r>
          </w:p>
        </w:tc>
        <w:tc>
          <w:tcPr>
            <w:tcW w:w="1644" w:type="dxa"/>
          </w:tcPr>
          <w:p>
            <w:pPr>
              <w:pStyle w:val="0"/>
            </w:pPr>
            <w:r>
              <w:rPr>
                <w:sz w:val="24"/>
              </w:rPr>
            </w:r>
          </w:p>
        </w:tc>
      </w:tr>
      <w:tr>
        <w:tc>
          <w:tcPr>
            <w:tcW w:w="964" w:type="dxa"/>
          </w:tcPr>
          <w:p>
            <w:pPr>
              <w:pStyle w:val="0"/>
            </w:pPr>
            <w:r>
              <w:rPr>
                <w:sz w:val="24"/>
              </w:rPr>
            </w:r>
          </w:p>
        </w:tc>
        <w:tc>
          <w:tcPr>
            <w:tcW w:w="566" w:type="dxa"/>
          </w:tcPr>
          <w:p>
            <w:pPr>
              <w:pStyle w:val="0"/>
            </w:pPr>
            <w:r>
              <w:rPr>
                <w:sz w:val="24"/>
              </w:rPr>
            </w:r>
          </w:p>
        </w:tc>
        <w:tc>
          <w:tcPr>
            <w:tcW w:w="1190" w:type="dxa"/>
          </w:tcPr>
          <w:p>
            <w:pPr>
              <w:pStyle w:val="0"/>
            </w:pPr>
            <w:r>
              <w:rPr>
                <w:sz w:val="24"/>
              </w:rPr>
            </w:r>
          </w:p>
        </w:tc>
        <w:tc>
          <w:tcPr>
            <w:tcW w:w="1531" w:type="dxa"/>
          </w:tcPr>
          <w:p>
            <w:pPr>
              <w:pStyle w:val="0"/>
            </w:pPr>
            <w:r>
              <w:rPr>
                <w:sz w:val="24"/>
              </w:rPr>
            </w:r>
          </w:p>
        </w:tc>
        <w:tc>
          <w:tcPr>
            <w:tcW w:w="1077" w:type="dxa"/>
          </w:tcPr>
          <w:p>
            <w:pPr>
              <w:pStyle w:val="0"/>
            </w:pPr>
            <w:r>
              <w:rPr>
                <w:sz w:val="24"/>
              </w:rPr>
            </w:r>
          </w:p>
        </w:tc>
        <w:tc>
          <w:tcPr>
            <w:tcW w:w="907" w:type="dxa"/>
          </w:tcPr>
          <w:p>
            <w:pPr>
              <w:pStyle w:val="0"/>
            </w:pPr>
            <w:r>
              <w:rPr>
                <w:sz w:val="24"/>
              </w:rPr>
            </w:r>
          </w:p>
        </w:tc>
        <w:tc>
          <w:tcPr>
            <w:tcW w:w="1191" w:type="dxa"/>
          </w:tcPr>
          <w:p>
            <w:pPr>
              <w:pStyle w:val="0"/>
            </w:pPr>
            <w:r>
              <w:rPr>
                <w:sz w:val="24"/>
              </w:rPr>
            </w:r>
          </w:p>
        </w:tc>
        <w:tc>
          <w:tcPr>
            <w:tcW w:w="1644" w:type="dxa"/>
          </w:tcPr>
          <w:p>
            <w:pPr>
              <w:pStyle w:val="0"/>
            </w:pPr>
            <w:r>
              <w:rPr>
                <w:sz w:val="24"/>
              </w:rPr>
            </w:r>
          </w:p>
        </w:tc>
      </w:tr>
    </w:tbl>
    <w:p>
      <w:pPr>
        <w:pStyle w:val="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964"/>
        <w:gridCol w:w="566"/>
        <w:gridCol w:w="963"/>
        <w:gridCol w:w="964"/>
        <w:gridCol w:w="907"/>
        <w:gridCol w:w="964"/>
        <w:gridCol w:w="907"/>
        <w:gridCol w:w="1020"/>
        <w:gridCol w:w="854"/>
        <w:gridCol w:w="964"/>
      </w:tblGrid>
      <w:tr>
        <w:tblPrEx>
          <w:tblBorders>
            <w:left w:val="nil"/>
            <w:right w:val="nil"/>
          </w:tblBorders>
        </w:tblPrEx>
        <w:tc>
          <w:tcPr>
            <w:gridSpan w:val="10"/>
            <w:tcW w:w="9073" w:type="dxa"/>
            <w:tcBorders>
              <w:left w:val="nil"/>
              <w:right w:val="nil"/>
            </w:tcBorders>
          </w:tcPr>
          <w:p>
            <w:pPr>
              <w:pStyle w:val="0"/>
              <w:outlineLvl w:val="3"/>
              <w:ind w:firstLine="283"/>
              <w:jc w:val="both"/>
            </w:pPr>
            <w:r>
              <w:rPr>
                <w:sz w:val="24"/>
              </w:rPr>
              <w:t xml:space="preserve">Специализированная медицинская помощь. Дневной стационар. Без ВМП</w:t>
            </w:r>
          </w:p>
        </w:tc>
      </w:tr>
      <w:tr>
        <w:tc>
          <w:tcPr>
            <w:tcW w:w="964" w:type="dxa"/>
          </w:tcPr>
          <w:p>
            <w:pPr>
              <w:pStyle w:val="0"/>
              <w:jc w:val="center"/>
            </w:pPr>
            <w:r>
              <w:rPr>
                <w:sz w:val="24"/>
              </w:rPr>
              <w:t xml:space="preserve">Источник финансового обеспечения</w:t>
            </w:r>
          </w:p>
        </w:tc>
        <w:tc>
          <w:tcPr>
            <w:tcW w:w="566" w:type="dxa"/>
          </w:tcPr>
          <w:p>
            <w:pPr>
              <w:pStyle w:val="0"/>
              <w:jc w:val="center"/>
            </w:pPr>
            <w:r>
              <w:rPr>
                <w:sz w:val="24"/>
              </w:rPr>
              <w:t xml:space="preserve">N пп</w:t>
            </w:r>
          </w:p>
        </w:tc>
        <w:tc>
          <w:tcPr>
            <w:tcW w:w="963" w:type="dxa"/>
          </w:tcPr>
          <w:p>
            <w:pPr>
              <w:pStyle w:val="0"/>
              <w:jc w:val="center"/>
            </w:pPr>
            <w:r>
              <w:rPr>
                <w:sz w:val="24"/>
              </w:rPr>
              <w:t xml:space="preserve">Профиль медицинской помощи</w:t>
            </w:r>
          </w:p>
          <w:p>
            <w:pPr>
              <w:pStyle w:val="0"/>
              <w:jc w:val="center"/>
            </w:pPr>
            <w:r>
              <w:rPr>
                <w:sz w:val="24"/>
              </w:rPr>
              <w:t xml:space="preserve">(Код)</w:t>
            </w:r>
          </w:p>
        </w:tc>
        <w:tc>
          <w:tcPr>
            <w:tcW w:w="964" w:type="dxa"/>
          </w:tcPr>
          <w:p>
            <w:pPr>
              <w:pStyle w:val="0"/>
              <w:jc w:val="center"/>
            </w:pPr>
            <w:r>
              <w:rPr>
                <w:sz w:val="24"/>
              </w:rPr>
              <w:t xml:space="preserve">Профиль медицинской помощи</w:t>
            </w:r>
          </w:p>
          <w:p>
            <w:pPr>
              <w:pStyle w:val="0"/>
              <w:jc w:val="center"/>
            </w:pPr>
            <w:r>
              <w:rPr>
                <w:sz w:val="24"/>
              </w:rPr>
              <w:t xml:space="preserve">(Наименование)</w:t>
            </w:r>
          </w:p>
        </w:tc>
        <w:tc>
          <w:tcPr>
            <w:tcW w:w="907" w:type="dxa"/>
          </w:tcPr>
          <w:p>
            <w:pPr>
              <w:pStyle w:val="0"/>
              <w:jc w:val="center"/>
            </w:pPr>
            <w:r>
              <w:rPr>
                <w:sz w:val="24"/>
              </w:rPr>
              <w:t xml:space="preserve">Клинико-профильная группа (КПГ)</w:t>
            </w:r>
          </w:p>
          <w:p>
            <w:pPr>
              <w:pStyle w:val="0"/>
              <w:jc w:val="center"/>
            </w:pPr>
            <w:r>
              <w:rPr>
                <w:sz w:val="24"/>
              </w:rPr>
              <w:t xml:space="preserve">(Код)</w:t>
            </w:r>
          </w:p>
        </w:tc>
        <w:tc>
          <w:tcPr>
            <w:tcW w:w="964" w:type="dxa"/>
          </w:tcPr>
          <w:p>
            <w:pPr>
              <w:pStyle w:val="0"/>
              <w:jc w:val="center"/>
            </w:pPr>
            <w:r>
              <w:rPr>
                <w:sz w:val="24"/>
              </w:rPr>
              <w:t xml:space="preserve">Клинико-профильная группа (КПГ)</w:t>
            </w:r>
          </w:p>
          <w:p>
            <w:pPr>
              <w:pStyle w:val="0"/>
              <w:jc w:val="center"/>
            </w:pPr>
            <w:r>
              <w:rPr>
                <w:sz w:val="24"/>
              </w:rPr>
              <w:t xml:space="preserve">(Наименование)</w:t>
            </w:r>
          </w:p>
        </w:tc>
        <w:tc>
          <w:tcPr>
            <w:tcW w:w="907" w:type="dxa"/>
          </w:tcPr>
          <w:p>
            <w:pPr>
              <w:pStyle w:val="0"/>
              <w:jc w:val="center"/>
            </w:pPr>
            <w:r>
              <w:rPr>
                <w:sz w:val="24"/>
              </w:rPr>
              <w:t xml:space="preserve">Клинико-статистическая группа (КСГ)</w:t>
            </w:r>
          </w:p>
          <w:p>
            <w:pPr>
              <w:pStyle w:val="0"/>
              <w:jc w:val="center"/>
            </w:pPr>
            <w:r>
              <w:rPr>
                <w:sz w:val="24"/>
              </w:rPr>
              <w:t xml:space="preserve">(Код)</w:t>
            </w:r>
          </w:p>
        </w:tc>
        <w:tc>
          <w:tcPr>
            <w:tcW w:w="1020" w:type="dxa"/>
          </w:tcPr>
          <w:p>
            <w:pPr>
              <w:pStyle w:val="0"/>
              <w:jc w:val="center"/>
            </w:pPr>
            <w:r>
              <w:rPr>
                <w:sz w:val="24"/>
              </w:rPr>
              <w:t xml:space="preserve">Клинико-статистическая группа (КСГ)</w:t>
            </w:r>
          </w:p>
          <w:p>
            <w:pPr>
              <w:pStyle w:val="0"/>
              <w:jc w:val="center"/>
            </w:pPr>
            <w:r>
              <w:rPr>
                <w:sz w:val="24"/>
              </w:rPr>
              <w:t xml:space="preserve">(Наименование)</w:t>
            </w:r>
          </w:p>
        </w:tc>
        <w:tc>
          <w:tcPr>
            <w:tcW w:w="854" w:type="dxa"/>
          </w:tcPr>
          <w:p>
            <w:pPr>
              <w:pStyle w:val="0"/>
              <w:jc w:val="center"/>
            </w:pPr>
            <w:r>
              <w:rPr>
                <w:sz w:val="24"/>
              </w:rPr>
              <w:t xml:space="preserve">Объем медицинской помощи (случай)</w:t>
            </w:r>
          </w:p>
        </w:tc>
        <w:tc>
          <w:tcPr>
            <w:tcW w:w="964" w:type="dxa"/>
          </w:tcPr>
          <w:p>
            <w:pPr>
              <w:pStyle w:val="0"/>
              <w:jc w:val="center"/>
            </w:pPr>
            <w:r>
              <w:rPr>
                <w:sz w:val="24"/>
              </w:rPr>
              <w:t xml:space="preserve">Объем финансового обеспечения медицинской помощи (руб.)</w:t>
            </w:r>
          </w:p>
        </w:tc>
      </w:tr>
      <w:tr>
        <w:tc>
          <w:tcPr>
            <w:tcW w:w="964" w:type="dxa"/>
            <w:vMerge w:val="restart"/>
          </w:tcPr>
          <w:p>
            <w:pPr>
              <w:pStyle w:val="0"/>
            </w:pPr>
            <w:r>
              <w:rPr>
                <w:sz w:val="24"/>
              </w:rPr>
            </w:r>
          </w:p>
        </w:tc>
        <w:tc>
          <w:tcPr>
            <w:tcW w:w="566" w:type="dxa"/>
          </w:tcPr>
          <w:p>
            <w:pPr>
              <w:pStyle w:val="0"/>
            </w:pPr>
            <w:r>
              <w:rPr>
                <w:sz w:val="24"/>
              </w:rPr>
            </w:r>
          </w:p>
        </w:tc>
        <w:tc>
          <w:tcPr>
            <w:tcW w:w="963" w:type="dxa"/>
          </w:tcPr>
          <w:p>
            <w:pPr>
              <w:pStyle w:val="0"/>
            </w:pPr>
            <w:r>
              <w:rPr>
                <w:sz w:val="24"/>
              </w:rPr>
            </w:r>
          </w:p>
        </w:tc>
        <w:tc>
          <w:tcPr>
            <w:tcW w:w="964" w:type="dxa"/>
          </w:tcPr>
          <w:p>
            <w:pPr>
              <w:pStyle w:val="0"/>
            </w:pPr>
            <w:r>
              <w:rPr>
                <w:sz w:val="24"/>
              </w:rPr>
            </w:r>
          </w:p>
        </w:tc>
        <w:tc>
          <w:tcPr>
            <w:tcW w:w="907" w:type="dxa"/>
          </w:tcPr>
          <w:p>
            <w:pPr>
              <w:pStyle w:val="0"/>
            </w:pPr>
            <w:r>
              <w:rPr>
                <w:sz w:val="24"/>
              </w:rPr>
            </w:r>
          </w:p>
        </w:tc>
        <w:tc>
          <w:tcPr>
            <w:tcW w:w="964" w:type="dxa"/>
          </w:tcPr>
          <w:p>
            <w:pPr>
              <w:pStyle w:val="0"/>
            </w:pPr>
            <w:r>
              <w:rPr>
                <w:sz w:val="24"/>
              </w:rPr>
            </w:r>
          </w:p>
        </w:tc>
        <w:tc>
          <w:tcPr>
            <w:tcW w:w="907" w:type="dxa"/>
          </w:tcPr>
          <w:p>
            <w:pPr>
              <w:pStyle w:val="0"/>
            </w:pPr>
            <w:r>
              <w:rPr>
                <w:sz w:val="24"/>
              </w:rPr>
            </w:r>
          </w:p>
        </w:tc>
        <w:tc>
          <w:tcPr>
            <w:tcW w:w="1020" w:type="dxa"/>
            <w:vAlign w:val="center"/>
          </w:tcPr>
          <w:p>
            <w:pPr>
              <w:pStyle w:val="0"/>
              <w:jc w:val="center"/>
            </w:pPr>
            <w:r>
              <w:rPr>
                <w:sz w:val="24"/>
              </w:rPr>
              <w:t xml:space="preserve">Всего</w:t>
            </w:r>
          </w:p>
        </w:tc>
        <w:tc>
          <w:tcPr>
            <w:tcW w:w="854" w:type="dxa"/>
          </w:tcPr>
          <w:p>
            <w:pPr>
              <w:pStyle w:val="0"/>
            </w:pPr>
            <w:r>
              <w:rPr>
                <w:sz w:val="24"/>
              </w:rPr>
            </w:r>
          </w:p>
        </w:tc>
        <w:tc>
          <w:tcPr>
            <w:tcW w:w="964" w:type="dxa"/>
          </w:tcPr>
          <w:p>
            <w:pPr>
              <w:pStyle w:val="0"/>
            </w:pPr>
            <w:r>
              <w:rPr>
                <w:sz w:val="24"/>
              </w:rPr>
            </w:r>
          </w:p>
        </w:tc>
      </w:tr>
      <w:tr>
        <w:tc>
          <w:tcPr>
            <w:vMerge w:val="continue"/>
          </w:tcPr>
          <w:p/>
        </w:tc>
        <w:tc>
          <w:tcPr>
            <w:tcW w:w="566" w:type="dxa"/>
          </w:tcPr>
          <w:p>
            <w:pPr>
              <w:pStyle w:val="0"/>
            </w:pPr>
            <w:r>
              <w:rPr>
                <w:sz w:val="24"/>
              </w:rPr>
            </w:r>
          </w:p>
        </w:tc>
        <w:tc>
          <w:tcPr>
            <w:tcW w:w="963" w:type="dxa"/>
          </w:tcPr>
          <w:p>
            <w:pPr>
              <w:pStyle w:val="0"/>
            </w:pPr>
            <w:r>
              <w:rPr>
                <w:sz w:val="24"/>
              </w:rPr>
            </w:r>
          </w:p>
        </w:tc>
        <w:tc>
          <w:tcPr>
            <w:tcW w:w="964" w:type="dxa"/>
          </w:tcPr>
          <w:p>
            <w:pPr>
              <w:pStyle w:val="0"/>
            </w:pPr>
            <w:r>
              <w:rPr>
                <w:sz w:val="24"/>
              </w:rPr>
            </w:r>
          </w:p>
        </w:tc>
        <w:tc>
          <w:tcPr>
            <w:tcW w:w="907" w:type="dxa"/>
          </w:tcPr>
          <w:p>
            <w:pPr>
              <w:pStyle w:val="0"/>
            </w:pPr>
            <w:r>
              <w:rPr>
                <w:sz w:val="24"/>
              </w:rPr>
            </w:r>
          </w:p>
        </w:tc>
        <w:tc>
          <w:tcPr>
            <w:tcW w:w="964" w:type="dxa"/>
          </w:tcPr>
          <w:p>
            <w:pPr>
              <w:pStyle w:val="0"/>
            </w:pPr>
            <w:r>
              <w:rPr>
                <w:sz w:val="24"/>
              </w:rPr>
            </w:r>
          </w:p>
        </w:tc>
        <w:tc>
          <w:tcPr>
            <w:tcW w:w="907" w:type="dxa"/>
          </w:tcPr>
          <w:p>
            <w:pPr>
              <w:pStyle w:val="0"/>
            </w:pPr>
            <w:r>
              <w:rPr>
                <w:sz w:val="24"/>
              </w:rPr>
            </w:r>
          </w:p>
        </w:tc>
        <w:tc>
          <w:tcPr>
            <w:tcW w:w="1020" w:type="dxa"/>
            <w:vAlign w:val="center"/>
          </w:tcPr>
          <w:p>
            <w:pPr>
              <w:pStyle w:val="0"/>
            </w:pPr>
            <w:r>
              <w:rPr>
                <w:sz w:val="24"/>
              </w:rPr>
            </w:r>
          </w:p>
        </w:tc>
        <w:tc>
          <w:tcPr>
            <w:tcW w:w="854" w:type="dxa"/>
          </w:tcPr>
          <w:p>
            <w:pPr>
              <w:pStyle w:val="0"/>
            </w:pPr>
            <w:r>
              <w:rPr>
                <w:sz w:val="24"/>
              </w:rPr>
            </w:r>
          </w:p>
        </w:tc>
        <w:tc>
          <w:tcPr>
            <w:tcW w:w="964" w:type="dxa"/>
          </w:tcPr>
          <w:p>
            <w:pPr>
              <w:pStyle w:val="0"/>
            </w:pPr>
            <w:r>
              <w:rPr>
                <w:sz w:val="24"/>
              </w:rPr>
            </w:r>
          </w:p>
        </w:tc>
      </w:tr>
      <w:tr>
        <w:tc>
          <w:tcPr>
            <w:tcW w:w="964" w:type="dxa"/>
            <w:vMerge w:val="restart"/>
          </w:tcPr>
          <w:p>
            <w:pPr>
              <w:pStyle w:val="0"/>
            </w:pPr>
            <w:r>
              <w:rPr>
                <w:sz w:val="24"/>
              </w:rPr>
            </w:r>
          </w:p>
        </w:tc>
        <w:tc>
          <w:tcPr>
            <w:tcW w:w="566" w:type="dxa"/>
          </w:tcPr>
          <w:p>
            <w:pPr>
              <w:pStyle w:val="0"/>
            </w:pPr>
            <w:r>
              <w:rPr>
                <w:sz w:val="24"/>
              </w:rPr>
            </w:r>
          </w:p>
        </w:tc>
        <w:tc>
          <w:tcPr>
            <w:tcW w:w="963" w:type="dxa"/>
          </w:tcPr>
          <w:p>
            <w:pPr>
              <w:pStyle w:val="0"/>
            </w:pPr>
            <w:r>
              <w:rPr>
                <w:sz w:val="24"/>
              </w:rPr>
            </w:r>
          </w:p>
        </w:tc>
        <w:tc>
          <w:tcPr>
            <w:tcW w:w="964" w:type="dxa"/>
          </w:tcPr>
          <w:p>
            <w:pPr>
              <w:pStyle w:val="0"/>
            </w:pPr>
            <w:r>
              <w:rPr>
                <w:sz w:val="24"/>
              </w:rPr>
            </w:r>
          </w:p>
        </w:tc>
        <w:tc>
          <w:tcPr>
            <w:tcW w:w="907" w:type="dxa"/>
          </w:tcPr>
          <w:p>
            <w:pPr>
              <w:pStyle w:val="0"/>
            </w:pPr>
            <w:r>
              <w:rPr>
                <w:sz w:val="24"/>
              </w:rPr>
            </w:r>
          </w:p>
        </w:tc>
        <w:tc>
          <w:tcPr>
            <w:tcW w:w="964" w:type="dxa"/>
          </w:tcPr>
          <w:p>
            <w:pPr>
              <w:pStyle w:val="0"/>
            </w:pPr>
            <w:r>
              <w:rPr>
                <w:sz w:val="24"/>
              </w:rPr>
            </w:r>
          </w:p>
        </w:tc>
        <w:tc>
          <w:tcPr>
            <w:tcW w:w="907" w:type="dxa"/>
          </w:tcPr>
          <w:p>
            <w:pPr>
              <w:pStyle w:val="0"/>
            </w:pPr>
            <w:r>
              <w:rPr>
                <w:sz w:val="24"/>
              </w:rPr>
            </w:r>
          </w:p>
        </w:tc>
        <w:tc>
          <w:tcPr>
            <w:tcW w:w="1020" w:type="dxa"/>
            <w:vAlign w:val="center"/>
          </w:tcPr>
          <w:p>
            <w:pPr>
              <w:pStyle w:val="0"/>
              <w:jc w:val="center"/>
            </w:pPr>
            <w:r>
              <w:rPr>
                <w:sz w:val="24"/>
              </w:rPr>
              <w:t xml:space="preserve">Всего</w:t>
            </w:r>
          </w:p>
        </w:tc>
        <w:tc>
          <w:tcPr>
            <w:tcW w:w="854" w:type="dxa"/>
          </w:tcPr>
          <w:p>
            <w:pPr>
              <w:pStyle w:val="0"/>
            </w:pPr>
            <w:r>
              <w:rPr>
                <w:sz w:val="24"/>
              </w:rPr>
            </w:r>
          </w:p>
        </w:tc>
        <w:tc>
          <w:tcPr>
            <w:tcW w:w="964" w:type="dxa"/>
          </w:tcPr>
          <w:p>
            <w:pPr>
              <w:pStyle w:val="0"/>
            </w:pPr>
            <w:r>
              <w:rPr>
                <w:sz w:val="24"/>
              </w:rPr>
            </w:r>
          </w:p>
        </w:tc>
      </w:tr>
      <w:tr>
        <w:tc>
          <w:tcPr>
            <w:vMerge w:val="continue"/>
          </w:tcPr>
          <w:p/>
        </w:tc>
        <w:tc>
          <w:tcPr>
            <w:tcW w:w="566" w:type="dxa"/>
          </w:tcPr>
          <w:p>
            <w:pPr>
              <w:pStyle w:val="0"/>
            </w:pPr>
            <w:r>
              <w:rPr>
                <w:sz w:val="24"/>
              </w:rPr>
            </w:r>
          </w:p>
        </w:tc>
        <w:tc>
          <w:tcPr>
            <w:tcW w:w="963" w:type="dxa"/>
          </w:tcPr>
          <w:p>
            <w:pPr>
              <w:pStyle w:val="0"/>
            </w:pPr>
            <w:r>
              <w:rPr>
                <w:sz w:val="24"/>
              </w:rPr>
            </w:r>
          </w:p>
        </w:tc>
        <w:tc>
          <w:tcPr>
            <w:tcW w:w="964" w:type="dxa"/>
          </w:tcPr>
          <w:p>
            <w:pPr>
              <w:pStyle w:val="0"/>
            </w:pPr>
            <w:r>
              <w:rPr>
                <w:sz w:val="24"/>
              </w:rPr>
            </w:r>
          </w:p>
        </w:tc>
        <w:tc>
          <w:tcPr>
            <w:tcW w:w="907" w:type="dxa"/>
          </w:tcPr>
          <w:p>
            <w:pPr>
              <w:pStyle w:val="0"/>
            </w:pPr>
            <w:r>
              <w:rPr>
                <w:sz w:val="24"/>
              </w:rPr>
            </w:r>
          </w:p>
        </w:tc>
        <w:tc>
          <w:tcPr>
            <w:tcW w:w="964" w:type="dxa"/>
          </w:tcPr>
          <w:p>
            <w:pPr>
              <w:pStyle w:val="0"/>
            </w:pPr>
            <w:r>
              <w:rPr>
                <w:sz w:val="24"/>
              </w:rPr>
            </w:r>
          </w:p>
        </w:tc>
        <w:tc>
          <w:tcPr>
            <w:tcW w:w="907" w:type="dxa"/>
          </w:tcPr>
          <w:p>
            <w:pPr>
              <w:pStyle w:val="0"/>
            </w:pPr>
            <w:r>
              <w:rPr>
                <w:sz w:val="24"/>
              </w:rPr>
            </w:r>
          </w:p>
        </w:tc>
        <w:tc>
          <w:tcPr>
            <w:tcW w:w="1020" w:type="dxa"/>
            <w:vAlign w:val="center"/>
          </w:tcPr>
          <w:p>
            <w:pPr>
              <w:pStyle w:val="0"/>
            </w:pPr>
            <w:r>
              <w:rPr>
                <w:sz w:val="24"/>
              </w:rPr>
            </w:r>
          </w:p>
        </w:tc>
        <w:tc>
          <w:tcPr>
            <w:tcW w:w="854" w:type="dxa"/>
          </w:tcPr>
          <w:p>
            <w:pPr>
              <w:pStyle w:val="0"/>
            </w:pPr>
            <w:r>
              <w:rPr>
                <w:sz w:val="24"/>
              </w:rPr>
            </w:r>
          </w:p>
        </w:tc>
        <w:tc>
          <w:tcPr>
            <w:tcW w:w="964" w:type="dxa"/>
          </w:tcPr>
          <w:p>
            <w:pPr>
              <w:pStyle w:val="0"/>
            </w:pPr>
            <w:r>
              <w:rPr>
                <w:sz w:val="24"/>
              </w:rPr>
            </w:r>
          </w:p>
        </w:tc>
      </w:tr>
      <w:tr>
        <w:tc>
          <w:tcPr>
            <w:tcW w:w="964" w:type="dxa"/>
            <w:vMerge w:val="restart"/>
          </w:tcPr>
          <w:p>
            <w:pPr>
              <w:pStyle w:val="0"/>
            </w:pPr>
            <w:r>
              <w:rPr>
                <w:sz w:val="24"/>
              </w:rPr>
            </w:r>
          </w:p>
        </w:tc>
        <w:tc>
          <w:tcPr>
            <w:tcW w:w="566" w:type="dxa"/>
          </w:tcPr>
          <w:p>
            <w:pPr>
              <w:pStyle w:val="0"/>
            </w:pPr>
            <w:r>
              <w:rPr>
                <w:sz w:val="24"/>
              </w:rPr>
            </w:r>
          </w:p>
        </w:tc>
        <w:tc>
          <w:tcPr>
            <w:tcW w:w="963" w:type="dxa"/>
          </w:tcPr>
          <w:p>
            <w:pPr>
              <w:pStyle w:val="0"/>
            </w:pPr>
            <w:r>
              <w:rPr>
                <w:sz w:val="24"/>
              </w:rPr>
            </w:r>
          </w:p>
        </w:tc>
        <w:tc>
          <w:tcPr>
            <w:tcW w:w="964" w:type="dxa"/>
          </w:tcPr>
          <w:p>
            <w:pPr>
              <w:pStyle w:val="0"/>
            </w:pPr>
            <w:r>
              <w:rPr>
                <w:sz w:val="24"/>
              </w:rPr>
            </w:r>
          </w:p>
        </w:tc>
        <w:tc>
          <w:tcPr>
            <w:tcW w:w="907" w:type="dxa"/>
          </w:tcPr>
          <w:p>
            <w:pPr>
              <w:pStyle w:val="0"/>
            </w:pPr>
            <w:r>
              <w:rPr>
                <w:sz w:val="24"/>
              </w:rPr>
            </w:r>
          </w:p>
        </w:tc>
        <w:tc>
          <w:tcPr>
            <w:tcW w:w="964" w:type="dxa"/>
          </w:tcPr>
          <w:p>
            <w:pPr>
              <w:pStyle w:val="0"/>
            </w:pPr>
            <w:r>
              <w:rPr>
                <w:sz w:val="24"/>
              </w:rPr>
            </w:r>
          </w:p>
        </w:tc>
        <w:tc>
          <w:tcPr>
            <w:tcW w:w="907" w:type="dxa"/>
          </w:tcPr>
          <w:p>
            <w:pPr>
              <w:pStyle w:val="0"/>
            </w:pPr>
            <w:r>
              <w:rPr>
                <w:sz w:val="24"/>
              </w:rPr>
            </w:r>
          </w:p>
        </w:tc>
        <w:tc>
          <w:tcPr>
            <w:tcW w:w="1020" w:type="dxa"/>
            <w:vAlign w:val="center"/>
          </w:tcPr>
          <w:p>
            <w:pPr>
              <w:pStyle w:val="0"/>
              <w:jc w:val="center"/>
            </w:pPr>
            <w:r>
              <w:rPr>
                <w:sz w:val="24"/>
              </w:rPr>
              <w:t xml:space="preserve">Всего</w:t>
            </w:r>
          </w:p>
        </w:tc>
        <w:tc>
          <w:tcPr>
            <w:tcW w:w="854" w:type="dxa"/>
          </w:tcPr>
          <w:p>
            <w:pPr>
              <w:pStyle w:val="0"/>
            </w:pPr>
            <w:r>
              <w:rPr>
                <w:sz w:val="24"/>
              </w:rPr>
            </w:r>
          </w:p>
        </w:tc>
        <w:tc>
          <w:tcPr>
            <w:tcW w:w="964" w:type="dxa"/>
          </w:tcPr>
          <w:p>
            <w:pPr>
              <w:pStyle w:val="0"/>
            </w:pPr>
            <w:r>
              <w:rPr>
                <w:sz w:val="24"/>
              </w:rPr>
            </w:r>
          </w:p>
        </w:tc>
      </w:tr>
      <w:tr>
        <w:tc>
          <w:tcPr>
            <w:vMerge w:val="continue"/>
          </w:tcPr>
          <w:p/>
        </w:tc>
        <w:tc>
          <w:tcPr>
            <w:tcW w:w="566" w:type="dxa"/>
          </w:tcPr>
          <w:p>
            <w:pPr>
              <w:pStyle w:val="0"/>
            </w:pPr>
            <w:r>
              <w:rPr>
                <w:sz w:val="24"/>
              </w:rPr>
            </w:r>
          </w:p>
        </w:tc>
        <w:tc>
          <w:tcPr>
            <w:tcW w:w="963" w:type="dxa"/>
          </w:tcPr>
          <w:p>
            <w:pPr>
              <w:pStyle w:val="0"/>
            </w:pPr>
            <w:r>
              <w:rPr>
                <w:sz w:val="24"/>
              </w:rPr>
            </w:r>
          </w:p>
        </w:tc>
        <w:tc>
          <w:tcPr>
            <w:tcW w:w="964" w:type="dxa"/>
          </w:tcPr>
          <w:p>
            <w:pPr>
              <w:pStyle w:val="0"/>
            </w:pPr>
            <w:r>
              <w:rPr>
                <w:sz w:val="24"/>
              </w:rPr>
            </w:r>
          </w:p>
        </w:tc>
        <w:tc>
          <w:tcPr>
            <w:tcW w:w="907" w:type="dxa"/>
          </w:tcPr>
          <w:p>
            <w:pPr>
              <w:pStyle w:val="0"/>
            </w:pPr>
            <w:r>
              <w:rPr>
                <w:sz w:val="24"/>
              </w:rPr>
            </w:r>
          </w:p>
        </w:tc>
        <w:tc>
          <w:tcPr>
            <w:tcW w:w="964" w:type="dxa"/>
          </w:tcPr>
          <w:p>
            <w:pPr>
              <w:pStyle w:val="0"/>
            </w:pPr>
            <w:r>
              <w:rPr>
                <w:sz w:val="24"/>
              </w:rPr>
            </w:r>
          </w:p>
        </w:tc>
        <w:tc>
          <w:tcPr>
            <w:tcW w:w="907" w:type="dxa"/>
          </w:tcPr>
          <w:p>
            <w:pPr>
              <w:pStyle w:val="0"/>
            </w:pPr>
            <w:r>
              <w:rPr>
                <w:sz w:val="24"/>
              </w:rPr>
            </w:r>
          </w:p>
        </w:tc>
        <w:tc>
          <w:tcPr>
            <w:tcW w:w="1020" w:type="dxa"/>
          </w:tcPr>
          <w:p>
            <w:pPr>
              <w:pStyle w:val="0"/>
            </w:pPr>
            <w:r>
              <w:rPr>
                <w:sz w:val="24"/>
              </w:rPr>
            </w:r>
          </w:p>
        </w:tc>
        <w:tc>
          <w:tcPr>
            <w:tcW w:w="854" w:type="dxa"/>
          </w:tcPr>
          <w:p>
            <w:pPr>
              <w:pStyle w:val="0"/>
            </w:pPr>
            <w:r>
              <w:rPr>
                <w:sz w:val="24"/>
              </w:rPr>
            </w:r>
          </w:p>
        </w:tc>
        <w:tc>
          <w:tcPr>
            <w:tcW w:w="964" w:type="dxa"/>
          </w:tcPr>
          <w:p>
            <w:pPr>
              <w:pStyle w:val="0"/>
            </w:pPr>
            <w:r>
              <w:rPr>
                <w:sz w:val="24"/>
              </w:rPr>
            </w:r>
          </w:p>
        </w:tc>
      </w:tr>
    </w:tbl>
    <w:p>
      <w:pPr>
        <w:pStyle w:val="0"/>
        <w:jc w:val="both"/>
      </w:pPr>
      <w:r>
        <w:rPr>
          <w:sz w:val="24"/>
        </w:rPr>
      </w:r>
    </w:p>
    <w:tbl>
      <w:tblPr>
        <w:tblInd w:w="0" w:type="dxa"/>
        <w:tblLayout w:type="fixed"/>
        <w:tblBorders>
          <w:left w:val="single" w:sz="4"/>
          <w:bottom w:val="single" w:sz="4"/>
          <w:right w:val="single" w:sz="4"/>
          <w:insideV w:val="single" w:sz="4"/>
          <w:insideH w:val="single" w:sz="4"/>
        </w:tblBorders>
        <w:tblCellMar>
          <w:top w:w="102" w:type="dxa"/>
          <w:left w:w="62" w:type="dxa"/>
          <w:bottom w:w="102" w:type="dxa"/>
          <w:right w:w="62" w:type="dxa"/>
        </w:tblCellMar>
      </w:tblPr>
      <w:tblGrid>
        <w:gridCol w:w="964"/>
        <w:gridCol w:w="566"/>
        <w:gridCol w:w="1247"/>
        <w:gridCol w:w="1474"/>
        <w:gridCol w:w="1077"/>
        <w:gridCol w:w="907"/>
        <w:gridCol w:w="1191"/>
        <w:gridCol w:w="1644"/>
      </w:tblGrid>
      <w:tr>
        <w:tblPrEx>
          <w:tblBorders>
            <w:left w:val="nil"/>
            <w:right w:val="nil"/>
          </w:tblBorders>
        </w:tblPrEx>
        <w:tc>
          <w:tcPr>
            <w:gridSpan w:val="8"/>
            <w:tcW w:w="9070" w:type="dxa"/>
            <w:tcBorders>
              <w:top w:val="nil"/>
              <w:left w:val="nil"/>
              <w:right w:val="nil"/>
            </w:tcBorders>
          </w:tcPr>
          <w:p>
            <w:pPr>
              <w:pStyle w:val="0"/>
              <w:outlineLvl w:val="3"/>
              <w:ind w:firstLine="283"/>
              <w:jc w:val="both"/>
            </w:pPr>
            <w:r>
              <w:rPr>
                <w:sz w:val="24"/>
              </w:rPr>
              <w:t xml:space="preserve">Специализированная медицинская помощь. Дневной стационар. ВМП</w:t>
            </w:r>
          </w:p>
        </w:tc>
      </w:tr>
      <w:tr>
        <w:tc>
          <w:tcPr>
            <w:tcW w:w="964" w:type="dxa"/>
          </w:tcPr>
          <w:p>
            <w:pPr>
              <w:pStyle w:val="0"/>
              <w:jc w:val="center"/>
            </w:pPr>
            <w:r>
              <w:rPr>
                <w:sz w:val="24"/>
              </w:rPr>
              <w:t xml:space="preserve">Источник финансового обеспечения</w:t>
            </w:r>
          </w:p>
        </w:tc>
        <w:tc>
          <w:tcPr>
            <w:tcW w:w="566" w:type="dxa"/>
          </w:tcPr>
          <w:p>
            <w:pPr>
              <w:pStyle w:val="0"/>
              <w:jc w:val="center"/>
            </w:pPr>
            <w:r>
              <w:rPr>
                <w:sz w:val="24"/>
              </w:rPr>
              <w:t xml:space="preserve">N пп</w:t>
            </w:r>
          </w:p>
        </w:tc>
        <w:tc>
          <w:tcPr>
            <w:tcW w:w="1247" w:type="dxa"/>
          </w:tcPr>
          <w:p>
            <w:pPr>
              <w:pStyle w:val="0"/>
              <w:jc w:val="center"/>
            </w:pPr>
            <w:r>
              <w:rPr>
                <w:sz w:val="24"/>
              </w:rPr>
              <w:t xml:space="preserve">(Профиль медицинской помощи) Код</w:t>
            </w:r>
          </w:p>
        </w:tc>
        <w:tc>
          <w:tcPr>
            <w:tcW w:w="1474" w:type="dxa"/>
          </w:tcPr>
          <w:p>
            <w:pPr>
              <w:pStyle w:val="0"/>
              <w:jc w:val="center"/>
            </w:pPr>
            <w:r>
              <w:rPr>
                <w:sz w:val="24"/>
              </w:rPr>
              <w:t xml:space="preserve">(Профиль медицинской помощи) Наименование</w:t>
            </w:r>
          </w:p>
        </w:tc>
        <w:tc>
          <w:tcPr>
            <w:tcW w:w="1077" w:type="dxa"/>
          </w:tcPr>
          <w:p>
            <w:pPr>
              <w:pStyle w:val="0"/>
              <w:jc w:val="center"/>
            </w:pPr>
            <w:r>
              <w:rPr>
                <w:sz w:val="24"/>
              </w:rPr>
              <w:t xml:space="preserve">Номер группы ВМП</w:t>
            </w:r>
          </w:p>
        </w:tc>
        <w:tc>
          <w:tcPr>
            <w:tcW w:w="907" w:type="dxa"/>
          </w:tcPr>
          <w:p>
            <w:pPr>
              <w:pStyle w:val="0"/>
              <w:jc w:val="center"/>
            </w:pPr>
            <w:r>
              <w:rPr>
                <w:sz w:val="24"/>
              </w:rPr>
              <w:t xml:space="preserve">Вид ВМП</w:t>
            </w:r>
          </w:p>
        </w:tc>
        <w:tc>
          <w:tcPr>
            <w:tcW w:w="1191" w:type="dxa"/>
          </w:tcPr>
          <w:p>
            <w:pPr>
              <w:pStyle w:val="0"/>
              <w:jc w:val="center"/>
            </w:pPr>
            <w:r>
              <w:rPr>
                <w:sz w:val="24"/>
              </w:rPr>
              <w:t xml:space="preserve">Объем медицинской помощи (случай)</w:t>
            </w:r>
          </w:p>
        </w:tc>
        <w:tc>
          <w:tcPr>
            <w:tcW w:w="1644" w:type="dxa"/>
          </w:tcPr>
          <w:p>
            <w:pPr>
              <w:pStyle w:val="0"/>
              <w:jc w:val="center"/>
            </w:pPr>
            <w:r>
              <w:rPr>
                <w:sz w:val="24"/>
              </w:rPr>
              <w:t xml:space="preserve">Объем финансового обеспечения медицинской помощи (руб.)</w:t>
            </w:r>
          </w:p>
        </w:tc>
      </w:tr>
      <w:tr>
        <w:tc>
          <w:tcPr>
            <w:tcW w:w="964" w:type="dxa"/>
            <w:vMerge w:val="restart"/>
          </w:tcPr>
          <w:p>
            <w:pPr>
              <w:pStyle w:val="0"/>
            </w:pPr>
            <w:r>
              <w:rPr>
                <w:sz w:val="24"/>
              </w:rPr>
            </w:r>
          </w:p>
        </w:tc>
        <w:tc>
          <w:tcPr>
            <w:tcW w:w="566" w:type="dxa"/>
          </w:tcPr>
          <w:p>
            <w:pPr>
              <w:pStyle w:val="0"/>
            </w:pPr>
            <w:r>
              <w:rPr>
                <w:sz w:val="24"/>
              </w:rPr>
            </w:r>
          </w:p>
        </w:tc>
        <w:tc>
          <w:tcPr>
            <w:tcW w:w="1247" w:type="dxa"/>
          </w:tcPr>
          <w:p>
            <w:pPr>
              <w:pStyle w:val="0"/>
            </w:pPr>
            <w:r>
              <w:rPr>
                <w:sz w:val="24"/>
              </w:rPr>
            </w:r>
          </w:p>
        </w:tc>
        <w:tc>
          <w:tcPr>
            <w:tcW w:w="1474" w:type="dxa"/>
          </w:tcPr>
          <w:p>
            <w:pPr>
              <w:pStyle w:val="0"/>
            </w:pPr>
            <w:r>
              <w:rPr>
                <w:sz w:val="24"/>
              </w:rPr>
            </w:r>
          </w:p>
        </w:tc>
        <w:tc>
          <w:tcPr>
            <w:tcW w:w="1077" w:type="dxa"/>
          </w:tcPr>
          <w:p>
            <w:pPr>
              <w:pStyle w:val="0"/>
            </w:pPr>
            <w:r>
              <w:rPr>
                <w:sz w:val="24"/>
              </w:rPr>
            </w:r>
          </w:p>
        </w:tc>
        <w:tc>
          <w:tcPr>
            <w:tcW w:w="907" w:type="dxa"/>
          </w:tcPr>
          <w:p>
            <w:pPr>
              <w:pStyle w:val="0"/>
            </w:pPr>
            <w:r>
              <w:rPr>
                <w:sz w:val="24"/>
              </w:rPr>
            </w:r>
          </w:p>
        </w:tc>
        <w:tc>
          <w:tcPr>
            <w:tcW w:w="1191" w:type="dxa"/>
          </w:tcPr>
          <w:p>
            <w:pPr>
              <w:pStyle w:val="0"/>
            </w:pPr>
            <w:r>
              <w:rPr>
                <w:sz w:val="24"/>
              </w:rPr>
            </w:r>
          </w:p>
        </w:tc>
        <w:tc>
          <w:tcPr>
            <w:tcW w:w="1644" w:type="dxa"/>
          </w:tcPr>
          <w:p>
            <w:pPr>
              <w:pStyle w:val="0"/>
            </w:pPr>
            <w:r>
              <w:rPr>
                <w:sz w:val="24"/>
              </w:rPr>
            </w:r>
          </w:p>
        </w:tc>
      </w:tr>
      <w:tr>
        <w:tc>
          <w:tcPr>
            <w:vMerge w:val="continue"/>
          </w:tcPr>
          <w:p/>
        </w:tc>
        <w:tc>
          <w:tcPr>
            <w:tcW w:w="566" w:type="dxa"/>
          </w:tcPr>
          <w:p>
            <w:pPr>
              <w:pStyle w:val="0"/>
            </w:pPr>
            <w:r>
              <w:rPr>
                <w:sz w:val="24"/>
              </w:rPr>
            </w:r>
          </w:p>
        </w:tc>
        <w:tc>
          <w:tcPr>
            <w:tcW w:w="1247" w:type="dxa"/>
          </w:tcPr>
          <w:p>
            <w:pPr>
              <w:pStyle w:val="0"/>
            </w:pPr>
            <w:r>
              <w:rPr>
                <w:sz w:val="24"/>
              </w:rPr>
            </w:r>
          </w:p>
        </w:tc>
        <w:tc>
          <w:tcPr>
            <w:tcW w:w="1474" w:type="dxa"/>
          </w:tcPr>
          <w:p>
            <w:pPr>
              <w:pStyle w:val="0"/>
            </w:pPr>
            <w:r>
              <w:rPr>
                <w:sz w:val="24"/>
              </w:rPr>
            </w:r>
          </w:p>
        </w:tc>
        <w:tc>
          <w:tcPr>
            <w:tcW w:w="1077" w:type="dxa"/>
          </w:tcPr>
          <w:p>
            <w:pPr>
              <w:pStyle w:val="0"/>
            </w:pPr>
            <w:r>
              <w:rPr>
                <w:sz w:val="24"/>
              </w:rPr>
            </w:r>
          </w:p>
        </w:tc>
        <w:tc>
          <w:tcPr>
            <w:tcW w:w="907" w:type="dxa"/>
          </w:tcPr>
          <w:p>
            <w:pPr>
              <w:pStyle w:val="0"/>
            </w:pPr>
            <w:r>
              <w:rPr>
                <w:sz w:val="24"/>
              </w:rPr>
            </w:r>
          </w:p>
        </w:tc>
        <w:tc>
          <w:tcPr>
            <w:tcW w:w="1191" w:type="dxa"/>
          </w:tcPr>
          <w:p>
            <w:pPr>
              <w:pStyle w:val="0"/>
            </w:pPr>
            <w:r>
              <w:rPr>
                <w:sz w:val="24"/>
              </w:rPr>
            </w:r>
          </w:p>
        </w:tc>
        <w:tc>
          <w:tcPr>
            <w:tcW w:w="1644" w:type="dxa"/>
          </w:tcPr>
          <w:p>
            <w:pPr>
              <w:pStyle w:val="0"/>
            </w:pPr>
            <w:r>
              <w:rPr>
                <w:sz w:val="24"/>
              </w:rPr>
            </w:r>
          </w:p>
        </w:tc>
      </w:tr>
      <w:tr>
        <w:tc>
          <w:tcPr>
            <w:tcW w:w="964" w:type="dxa"/>
            <w:vMerge w:val="restart"/>
          </w:tcPr>
          <w:p>
            <w:pPr>
              <w:pStyle w:val="0"/>
            </w:pPr>
            <w:r>
              <w:rPr>
                <w:sz w:val="24"/>
              </w:rPr>
            </w:r>
          </w:p>
        </w:tc>
        <w:tc>
          <w:tcPr>
            <w:tcW w:w="566" w:type="dxa"/>
          </w:tcPr>
          <w:p>
            <w:pPr>
              <w:pStyle w:val="0"/>
            </w:pPr>
            <w:r>
              <w:rPr>
                <w:sz w:val="24"/>
              </w:rPr>
            </w:r>
          </w:p>
        </w:tc>
        <w:tc>
          <w:tcPr>
            <w:tcW w:w="1247" w:type="dxa"/>
          </w:tcPr>
          <w:p>
            <w:pPr>
              <w:pStyle w:val="0"/>
            </w:pPr>
            <w:r>
              <w:rPr>
                <w:sz w:val="24"/>
              </w:rPr>
            </w:r>
          </w:p>
        </w:tc>
        <w:tc>
          <w:tcPr>
            <w:tcW w:w="1474" w:type="dxa"/>
          </w:tcPr>
          <w:p>
            <w:pPr>
              <w:pStyle w:val="0"/>
            </w:pPr>
            <w:r>
              <w:rPr>
                <w:sz w:val="24"/>
              </w:rPr>
            </w:r>
          </w:p>
        </w:tc>
        <w:tc>
          <w:tcPr>
            <w:tcW w:w="1077" w:type="dxa"/>
          </w:tcPr>
          <w:p>
            <w:pPr>
              <w:pStyle w:val="0"/>
            </w:pPr>
            <w:r>
              <w:rPr>
                <w:sz w:val="24"/>
              </w:rPr>
            </w:r>
          </w:p>
        </w:tc>
        <w:tc>
          <w:tcPr>
            <w:tcW w:w="907" w:type="dxa"/>
          </w:tcPr>
          <w:p>
            <w:pPr>
              <w:pStyle w:val="0"/>
            </w:pPr>
            <w:r>
              <w:rPr>
                <w:sz w:val="24"/>
              </w:rPr>
            </w:r>
          </w:p>
        </w:tc>
        <w:tc>
          <w:tcPr>
            <w:tcW w:w="1191" w:type="dxa"/>
          </w:tcPr>
          <w:p>
            <w:pPr>
              <w:pStyle w:val="0"/>
            </w:pPr>
            <w:r>
              <w:rPr>
                <w:sz w:val="24"/>
              </w:rPr>
            </w:r>
          </w:p>
        </w:tc>
        <w:tc>
          <w:tcPr>
            <w:tcW w:w="1644" w:type="dxa"/>
          </w:tcPr>
          <w:p>
            <w:pPr>
              <w:pStyle w:val="0"/>
            </w:pPr>
            <w:r>
              <w:rPr>
                <w:sz w:val="24"/>
              </w:rPr>
            </w:r>
          </w:p>
        </w:tc>
      </w:tr>
      <w:tr>
        <w:tc>
          <w:tcPr>
            <w:vMerge w:val="continue"/>
          </w:tcPr>
          <w:p/>
        </w:tc>
        <w:tc>
          <w:tcPr>
            <w:tcW w:w="566" w:type="dxa"/>
          </w:tcPr>
          <w:p>
            <w:pPr>
              <w:pStyle w:val="0"/>
            </w:pPr>
            <w:r>
              <w:rPr>
                <w:sz w:val="24"/>
              </w:rPr>
            </w:r>
          </w:p>
        </w:tc>
        <w:tc>
          <w:tcPr>
            <w:tcW w:w="1247" w:type="dxa"/>
          </w:tcPr>
          <w:p>
            <w:pPr>
              <w:pStyle w:val="0"/>
            </w:pPr>
            <w:r>
              <w:rPr>
                <w:sz w:val="24"/>
              </w:rPr>
            </w:r>
          </w:p>
        </w:tc>
        <w:tc>
          <w:tcPr>
            <w:tcW w:w="1474" w:type="dxa"/>
          </w:tcPr>
          <w:p>
            <w:pPr>
              <w:pStyle w:val="0"/>
            </w:pPr>
            <w:r>
              <w:rPr>
                <w:sz w:val="24"/>
              </w:rPr>
            </w:r>
          </w:p>
        </w:tc>
        <w:tc>
          <w:tcPr>
            <w:tcW w:w="1077" w:type="dxa"/>
          </w:tcPr>
          <w:p>
            <w:pPr>
              <w:pStyle w:val="0"/>
            </w:pPr>
            <w:r>
              <w:rPr>
                <w:sz w:val="24"/>
              </w:rPr>
            </w:r>
          </w:p>
        </w:tc>
        <w:tc>
          <w:tcPr>
            <w:tcW w:w="907" w:type="dxa"/>
          </w:tcPr>
          <w:p>
            <w:pPr>
              <w:pStyle w:val="0"/>
            </w:pPr>
            <w:r>
              <w:rPr>
                <w:sz w:val="24"/>
              </w:rPr>
            </w:r>
          </w:p>
        </w:tc>
        <w:tc>
          <w:tcPr>
            <w:tcW w:w="1191" w:type="dxa"/>
          </w:tcPr>
          <w:p>
            <w:pPr>
              <w:pStyle w:val="0"/>
            </w:pPr>
            <w:r>
              <w:rPr>
                <w:sz w:val="24"/>
              </w:rPr>
            </w:r>
          </w:p>
        </w:tc>
        <w:tc>
          <w:tcPr>
            <w:tcW w:w="1644" w:type="dxa"/>
          </w:tcPr>
          <w:p>
            <w:pPr>
              <w:pStyle w:val="0"/>
            </w:pPr>
            <w:r>
              <w:rPr>
                <w:sz w:val="24"/>
              </w:rPr>
            </w:r>
          </w:p>
        </w:tc>
      </w:tr>
      <w:tr>
        <w:tc>
          <w:tcPr>
            <w:tcW w:w="964" w:type="dxa"/>
            <w:vMerge w:val="restart"/>
          </w:tcPr>
          <w:p>
            <w:pPr>
              <w:pStyle w:val="0"/>
            </w:pPr>
            <w:r>
              <w:rPr>
                <w:sz w:val="24"/>
              </w:rPr>
            </w:r>
          </w:p>
        </w:tc>
        <w:tc>
          <w:tcPr>
            <w:tcW w:w="566" w:type="dxa"/>
          </w:tcPr>
          <w:p>
            <w:pPr>
              <w:pStyle w:val="0"/>
            </w:pPr>
            <w:r>
              <w:rPr>
                <w:sz w:val="24"/>
              </w:rPr>
            </w:r>
          </w:p>
        </w:tc>
        <w:tc>
          <w:tcPr>
            <w:tcW w:w="1247" w:type="dxa"/>
          </w:tcPr>
          <w:p>
            <w:pPr>
              <w:pStyle w:val="0"/>
            </w:pPr>
            <w:r>
              <w:rPr>
                <w:sz w:val="24"/>
              </w:rPr>
            </w:r>
          </w:p>
        </w:tc>
        <w:tc>
          <w:tcPr>
            <w:tcW w:w="1474" w:type="dxa"/>
          </w:tcPr>
          <w:p>
            <w:pPr>
              <w:pStyle w:val="0"/>
            </w:pPr>
            <w:r>
              <w:rPr>
                <w:sz w:val="24"/>
              </w:rPr>
            </w:r>
          </w:p>
        </w:tc>
        <w:tc>
          <w:tcPr>
            <w:tcW w:w="1077" w:type="dxa"/>
          </w:tcPr>
          <w:p>
            <w:pPr>
              <w:pStyle w:val="0"/>
            </w:pPr>
            <w:r>
              <w:rPr>
                <w:sz w:val="24"/>
              </w:rPr>
            </w:r>
          </w:p>
        </w:tc>
        <w:tc>
          <w:tcPr>
            <w:tcW w:w="907" w:type="dxa"/>
          </w:tcPr>
          <w:p>
            <w:pPr>
              <w:pStyle w:val="0"/>
            </w:pPr>
            <w:r>
              <w:rPr>
                <w:sz w:val="24"/>
              </w:rPr>
            </w:r>
          </w:p>
        </w:tc>
        <w:tc>
          <w:tcPr>
            <w:tcW w:w="1191" w:type="dxa"/>
          </w:tcPr>
          <w:p>
            <w:pPr>
              <w:pStyle w:val="0"/>
            </w:pPr>
            <w:r>
              <w:rPr>
                <w:sz w:val="24"/>
              </w:rPr>
            </w:r>
          </w:p>
        </w:tc>
        <w:tc>
          <w:tcPr>
            <w:tcW w:w="1644" w:type="dxa"/>
          </w:tcPr>
          <w:p>
            <w:pPr>
              <w:pStyle w:val="0"/>
            </w:pPr>
            <w:r>
              <w:rPr>
                <w:sz w:val="24"/>
              </w:rPr>
            </w:r>
          </w:p>
        </w:tc>
      </w:tr>
      <w:tr>
        <w:tc>
          <w:tcPr>
            <w:vMerge w:val="continue"/>
          </w:tcPr>
          <w:p/>
        </w:tc>
        <w:tc>
          <w:tcPr>
            <w:tcW w:w="566" w:type="dxa"/>
          </w:tcPr>
          <w:p>
            <w:pPr>
              <w:pStyle w:val="0"/>
            </w:pPr>
            <w:r>
              <w:rPr>
                <w:sz w:val="24"/>
              </w:rPr>
            </w:r>
          </w:p>
        </w:tc>
        <w:tc>
          <w:tcPr>
            <w:tcW w:w="1247" w:type="dxa"/>
          </w:tcPr>
          <w:p>
            <w:pPr>
              <w:pStyle w:val="0"/>
            </w:pPr>
            <w:r>
              <w:rPr>
                <w:sz w:val="24"/>
              </w:rPr>
            </w:r>
          </w:p>
        </w:tc>
        <w:tc>
          <w:tcPr>
            <w:tcW w:w="1474" w:type="dxa"/>
          </w:tcPr>
          <w:p>
            <w:pPr>
              <w:pStyle w:val="0"/>
            </w:pPr>
            <w:r>
              <w:rPr>
                <w:sz w:val="24"/>
              </w:rPr>
            </w:r>
          </w:p>
        </w:tc>
        <w:tc>
          <w:tcPr>
            <w:tcW w:w="1077" w:type="dxa"/>
          </w:tcPr>
          <w:p>
            <w:pPr>
              <w:pStyle w:val="0"/>
            </w:pPr>
            <w:r>
              <w:rPr>
                <w:sz w:val="24"/>
              </w:rPr>
            </w:r>
          </w:p>
        </w:tc>
        <w:tc>
          <w:tcPr>
            <w:tcW w:w="907" w:type="dxa"/>
          </w:tcPr>
          <w:p>
            <w:pPr>
              <w:pStyle w:val="0"/>
            </w:pPr>
            <w:r>
              <w:rPr>
                <w:sz w:val="24"/>
              </w:rPr>
            </w:r>
          </w:p>
        </w:tc>
        <w:tc>
          <w:tcPr>
            <w:tcW w:w="1191" w:type="dxa"/>
          </w:tcPr>
          <w:p>
            <w:pPr>
              <w:pStyle w:val="0"/>
            </w:pPr>
            <w:r>
              <w:rPr>
                <w:sz w:val="24"/>
              </w:rPr>
            </w:r>
          </w:p>
        </w:tc>
        <w:tc>
          <w:tcPr>
            <w:tcW w:w="1644" w:type="dxa"/>
          </w:tcPr>
          <w:p>
            <w:pPr>
              <w:pStyle w:val="0"/>
            </w:pPr>
            <w:r>
              <w:rPr>
                <w:sz w:val="24"/>
              </w:rPr>
            </w:r>
          </w:p>
        </w:tc>
      </w:tr>
    </w:tbl>
    <w:p>
      <w:pPr>
        <w:pStyle w:val="0"/>
        <w:jc w:val="both"/>
      </w:pPr>
      <w:r>
        <w:rPr>
          <w:sz w:val="24"/>
        </w:rPr>
      </w:r>
    </w:p>
    <w:p>
      <w:pPr>
        <w:sectPr>
          <w:headerReference w:type="default" r:id="rId6"/>
          <w:headerReference w:type="first" r:id="rId6"/>
          <w:footerReference w:type="default" r:id="rId7"/>
          <w:footerReference w:type="first" r:id="rId7"/>
          <w:pgSz w:w="11906" w:h="16838"/>
          <w:pgMar w:top="1440" w:right="566" w:bottom="1440" w:left="1133" w:header="0" w:footer="0" w:gutter="0"/>
          <w:titlePg/>
        </w:sectPr>
      </w:pPr>
    </w:p>
    <w:tbl>
      <w:tblPr>
        <w:tblInd w:w="0" w:type="dxa"/>
        <w:tblLayout w:type="fixed"/>
        <w:tblBorders>
          <w:left w:val="single" w:sz="4"/>
          <w:bottom w:val="single" w:sz="4"/>
          <w:right w:val="single" w:sz="4"/>
          <w:insideV w:val="single" w:sz="4"/>
          <w:insideH w:val="single" w:sz="4"/>
        </w:tblBorders>
        <w:tblCellMar>
          <w:top w:w="102" w:type="dxa"/>
          <w:left w:w="62" w:type="dxa"/>
          <w:bottom w:w="102" w:type="dxa"/>
          <w:right w:w="62" w:type="dxa"/>
        </w:tblCellMar>
      </w:tblPr>
      <w:tblGrid>
        <w:gridCol w:w="793"/>
        <w:gridCol w:w="566"/>
        <w:gridCol w:w="850"/>
        <w:gridCol w:w="1020"/>
        <w:gridCol w:w="1020"/>
        <w:gridCol w:w="793"/>
        <w:gridCol w:w="680"/>
        <w:gridCol w:w="1020"/>
        <w:gridCol w:w="793"/>
        <w:gridCol w:w="1303"/>
        <w:gridCol w:w="793"/>
        <w:gridCol w:w="793"/>
        <w:gridCol w:w="680"/>
        <w:gridCol w:w="680"/>
        <w:gridCol w:w="680"/>
        <w:gridCol w:w="1133"/>
      </w:tblGrid>
      <w:tr>
        <w:tblPrEx>
          <w:tblBorders>
            <w:left w:val="nil"/>
            <w:right w:val="nil"/>
          </w:tblBorders>
        </w:tblPrEx>
        <w:tc>
          <w:tcPr>
            <w:gridSpan w:val="16"/>
            <w:tcW w:w="13597" w:type="dxa"/>
            <w:tcBorders>
              <w:top w:val="nil"/>
              <w:left w:val="nil"/>
              <w:right w:val="nil"/>
            </w:tcBorders>
          </w:tcPr>
          <w:p>
            <w:pPr>
              <w:pStyle w:val="0"/>
              <w:outlineLvl w:val="3"/>
              <w:ind w:firstLine="283"/>
              <w:jc w:val="both"/>
            </w:pPr>
            <w:r>
              <w:rPr>
                <w:sz w:val="24"/>
              </w:rPr>
              <w:t xml:space="preserve">Первичная медико-санитарная помощь. Амбулаторно. Посещения</w:t>
            </w:r>
          </w:p>
        </w:tc>
      </w:tr>
      <w:tr>
        <w:tc>
          <w:tcPr>
            <w:tcW w:w="793" w:type="dxa"/>
          </w:tcPr>
          <w:p>
            <w:pPr>
              <w:pStyle w:val="0"/>
              <w:jc w:val="center"/>
            </w:pPr>
            <w:r>
              <w:rPr>
                <w:sz w:val="24"/>
              </w:rPr>
              <w:t xml:space="preserve">Источник финансового обеспечения</w:t>
            </w:r>
          </w:p>
        </w:tc>
        <w:tc>
          <w:tcPr>
            <w:tcW w:w="566" w:type="dxa"/>
          </w:tcPr>
          <w:p>
            <w:pPr>
              <w:pStyle w:val="0"/>
              <w:jc w:val="center"/>
            </w:pPr>
            <w:r>
              <w:rPr>
                <w:sz w:val="24"/>
              </w:rPr>
              <w:t xml:space="preserve">N пп</w:t>
            </w:r>
          </w:p>
        </w:tc>
        <w:tc>
          <w:tcPr>
            <w:tcW w:w="850" w:type="dxa"/>
          </w:tcPr>
          <w:p>
            <w:pPr>
              <w:pStyle w:val="0"/>
              <w:jc w:val="center"/>
            </w:pPr>
            <w:r>
              <w:rPr>
                <w:sz w:val="24"/>
              </w:rPr>
              <w:t xml:space="preserve">Код профиля медицинской помощи</w:t>
            </w:r>
          </w:p>
        </w:tc>
        <w:tc>
          <w:tcPr>
            <w:tcW w:w="1020" w:type="dxa"/>
          </w:tcPr>
          <w:p>
            <w:pPr>
              <w:pStyle w:val="0"/>
              <w:jc w:val="center"/>
            </w:pPr>
            <w:r>
              <w:rPr>
                <w:sz w:val="24"/>
              </w:rPr>
              <w:t xml:space="preserve">Наименование профиля медицинской помощи</w:t>
            </w:r>
          </w:p>
        </w:tc>
        <w:tc>
          <w:tcPr>
            <w:tcW w:w="1020" w:type="dxa"/>
          </w:tcPr>
          <w:p>
            <w:pPr>
              <w:pStyle w:val="0"/>
              <w:jc w:val="center"/>
            </w:pPr>
            <w:r>
              <w:rPr>
                <w:sz w:val="24"/>
              </w:rPr>
              <w:t xml:space="preserve">Код должности врача специалиста</w:t>
            </w:r>
          </w:p>
        </w:tc>
        <w:tc>
          <w:tcPr>
            <w:tcW w:w="793" w:type="dxa"/>
          </w:tcPr>
          <w:p>
            <w:pPr>
              <w:pStyle w:val="0"/>
              <w:jc w:val="center"/>
            </w:pPr>
            <w:r>
              <w:rPr>
                <w:sz w:val="24"/>
              </w:rPr>
              <w:t xml:space="preserve">Наименование врача специалиста</w:t>
            </w:r>
          </w:p>
        </w:tc>
        <w:tc>
          <w:tcPr>
            <w:tcW w:w="680" w:type="dxa"/>
          </w:tcPr>
          <w:p>
            <w:pPr>
              <w:pStyle w:val="0"/>
              <w:jc w:val="center"/>
            </w:pPr>
            <w:r>
              <w:rPr>
                <w:sz w:val="24"/>
              </w:rPr>
              <w:t xml:space="preserve">Посещений, всего</w:t>
            </w:r>
          </w:p>
        </w:tc>
        <w:tc>
          <w:tcPr>
            <w:tcW w:w="1020" w:type="dxa"/>
          </w:tcPr>
          <w:p>
            <w:pPr>
              <w:pStyle w:val="0"/>
              <w:jc w:val="center"/>
            </w:pPr>
            <w:r>
              <w:rPr>
                <w:sz w:val="24"/>
              </w:rPr>
              <w:t xml:space="preserve">Посещений по паллиативной помощи, всего</w:t>
            </w:r>
          </w:p>
        </w:tc>
        <w:tc>
          <w:tcPr>
            <w:tcW w:w="793" w:type="dxa"/>
          </w:tcPr>
          <w:p>
            <w:pPr>
              <w:pStyle w:val="0"/>
              <w:jc w:val="center"/>
            </w:pPr>
            <w:r>
              <w:rPr>
                <w:sz w:val="24"/>
              </w:rPr>
              <w:t xml:space="preserve">Посещений на дому патронажными бригадами</w:t>
            </w:r>
          </w:p>
        </w:tc>
        <w:tc>
          <w:tcPr>
            <w:tcW w:w="1303" w:type="dxa"/>
          </w:tcPr>
          <w:p>
            <w:pPr>
              <w:pStyle w:val="0"/>
              <w:jc w:val="center"/>
            </w:pPr>
            <w:r>
              <w:rPr>
                <w:sz w:val="24"/>
              </w:rPr>
              <w:t xml:space="preserve">Посещения по паллиативной медицинской помощи без учета посещений на дому патронажными бригадами</w:t>
            </w:r>
          </w:p>
        </w:tc>
        <w:tc>
          <w:tcPr>
            <w:tcW w:w="793" w:type="dxa"/>
          </w:tcPr>
          <w:p>
            <w:pPr>
              <w:pStyle w:val="0"/>
              <w:jc w:val="center"/>
            </w:pPr>
            <w:r>
              <w:rPr>
                <w:sz w:val="24"/>
              </w:rPr>
              <w:t xml:space="preserve">Посещения с иными целями</w:t>
            </w:r>
          </w:p>
        </w:tc>
        <w:tc>
          <w:tcPr>
            <w:tcW w:w="793" w:type="dxa"/>
          </w:tcPr>
          <w:p>
            <w:pPr>
              <w:pStyle w:val="0"/>
              <w:jc w:val="center"/>
            </w:pPr>
            <w:r>
              <w:rPr>
                <w:sz w:val="24"/>
              </w:rPr>
              <w:t xml:space="preserve">Посещения по неотложной помощи</w:t>
            </w:r>
          </w:p>
        </w:tc>
        <w:tc>
          <w:tcPr>
            <w:tcW w:w="680" w:type="dxa"/>
          </w:tcPr>
          <w:p>
            <w:pPr>
              <w:pStyle w:val="0"/>
              <w:jc w:val="center"/>
            </w:pPr>
            <w:r>
              <w:rPr>
                <w:sz w:val="24"/>
              </w:rPr>
              <w:t xml:space="preserve">Гемодиализ</w:t>
            </w:r>
          </w:p>
        </w:tc>
        <w:tc>
          <w:tcPr>
            <w:tcW w:w="680" w:type="dxa"/>
          </w:tcPr>
          <w:p>
            <w:pPr>
              <w:pStyle w:val="0"/>
              <w:jc w:val="center"/>
            </w:pPr>
            <w:r>
              <w:rPr>
                <w:sz w:val="24"/>
              </w:rPr>
              <w:t xml:space="preserve">Количество иных целей</w:t>
            </w:r>
          </w:p>
        </w:tc>
        <w:tc>
          <w:tcPr>
            <w:tcW w:w="680" w:type="dxa"/>
          </w:tcPr>
          <w:p>
            <w:pPr>
              <w:pStyle w:val="0"/>
              <w:jc w:val="center"/>
            </w:pPr>
            <w:r>
              <w:rPr>
                <w:sz w:val="24"/>
              </w:rPr>
              <w:t xml:space="preserve">Обращения</w:t>
            </w:r>
          </w:p>
        </w:tc>
        <w:tc>
          <w:tcPr>
            <w:tcW w:w="1133" w:type="dxa"/>
          </w:tcPr>
          <w:p>
            <w:pPr>
              <w:pStyle w:val="0"/>
              <w:jc w:val="center"/>
            </w:pPr>
            <w:r>
              <w:rPr>
                <w:sz w:val="24"/>
              </w:rPr>
              <w:t xml:space="preserve">Объем финансового обеспечения медицинской помощи (руб.)</w:t>
            </w:r>
          </w:p>
        </w:tc>
      </w:tr>
      <w:tr>
        <w:tc>
          <w:tcPr>
            <w:tcW w:w="793" w:type="dxa"/>
            <w:vMerge w:val="restart"/>
          </w:tcPr>
          <w:p>
            <w:pPr>
              <w:pStyle w:val="0"/>
            </w:pPr>
            <w:r>
              <w:rPr>
                <w:sz w:val="24"/>
              </w:rPr>
            </w:r>
          </w:p>
        </w:tc>
        <w:tc>
          <w:tcPr>
            <w:tcW w:w="566" w:type="dxa"/>
          </w:tcPr>
          <w:p>
            <w:pPr>
              <w:pStyle w:val="0"/>
            </w:pPr>
            <w:r>
              <w:rPr>
                <w:sz w:val="24"/>
              </w:rPr>
            </w:r>
          </w:p>
        </w:tc>
        <w:tc>
          <w:tcPr>
            <w:tcW w:w="850" w:type="dxa"/>
          </w:tcPr>
          <w:p>
            <w:pPr>
              <w:pStyle w:val="0"/>
            </w:pPr>
            <w:r>
              <w:rPr>
                <w:sz w:val="24"/>
              </w:rPr>
            </w:r>
          </w:p>
        </w:tc>
        <w:tc>
          <w:tcPr>
            <w:tcW w:w="1020" w:type="dxa"/>
          </w:tcPr>
          <w:p>
            <w:pPr>
              <w:pStyle w:val="0"/>
            </w:pPr>
            <w:r>
              <w:rPr>
                <w:sz w:val="24"/>
              </w:rPr>
            </w:r>
          </w:p>
        </w:tc>
        <w:tc>
          <w:tcPr>
            <w:tcW w:w="1020" w:type="dxa"/>
          </w:tcPr>
          <w:p>
            <w:pPr>
              <w:pStyle w:val="0"/>
            </w:pPr>
            <w:r>
              <w:rPr>
                <w:sz w:val="24"/>
              </w:rPr>
            </w:r>
          </w:p>
        </w:tc>
        <w:tc>
          <w:tcPr>
            <w:tcW w:w="793" w:type="dxa"/>
          </w:tcPr>
          <w:p>
            <w:pPr>
              <w:pStyle w:val="0"/>
            </w:pPr>
            <w:r>
              <w:rPr>
                <w:sz w:val="24"/>
              </w:rPr>
            </w:r>
          </w:p>
        </w:tc>
        <w:tc>
          <w:tcPr>
            <w:tcW w:w="680" w:type="dxa"/>
          </w:tcPr>
          <w:p>
            <w:pPr>
              <w:pStyle w:val="0"/>
            </w:pPr>
            <w:r>
              <w:rPr>
                <w:sz w:val="24"/>
              </w:rPr>
            </w:r>
          </w:p>
        </w:tc>
        <w:tc>
          <w:tcPr>
            <w:tcW w:w="1020" w:type="dxa"/>
          </w:tcPr>
          <w:p>
            <w:pPr>
              <w:pStyle w:val="0"/>
            </w:pPr>
            <w:r>
              <w:rPr>
                <w:sz w:val="24"/>
              </w:rPr>
            </w:r>
          </w:p>
        </w:tc>
        <w:tc>
          <w:tcPr>
            <w:tcW w:w="793" w:type="dxa"/>
          </w:tcPr>
          <w:p>
            <w:pPr>
              <w:pStyle w:val="0"/>
            </w:pPr>
            <w:r>
              <w:rPr>
                <w:sz w:val="24"/>
              </w:rPr>
            </w:r>
          </w:p>
        </w:tc>
        <w:tc>
          <w:tcPr>
            <w:tcW w:w="1303" w:type="dxa"/>
          </w:tcPr>
          <w:p>
            <w:pPr>
              <w:pStyle w:val="0"/>
            </w:pPr>
            <w:r>
              <w:rPr>
                <w:sz w:val="24"/>
              </w:rPr>
            </w:r>
          </w:p>
        </w:tc>
        <w:tc>
          <w:tcPr>
            <w:tcW w:w="793" w:type="dxa"/>
          </w:tcPr>
          <w:p>
            <w:pPr>
              <w:pStyle w:val="0"/>
            </w:pPr>
            <w:r>
              <w:rPr>
                <w:sz w:val="24"/>
              </w:rPr>
            </w:r>
          </w:p>
        </w:tc>
        <w:tc>
          <w:tcPr>
            <w:tcW w:w="793" w:type="dxa"/>
          </w:tcPr>
          <w:p>
            <w:pPr>
              <w:pStyle w:val="0"/>
            </w:pPr>
            <w:r>
              <w:rPr>
                <w:sz w:val="24"/>
              </w:rPr>
            </w:r>
          </w:p>
        </w:tc>
        <w:tc>
          <w:tcPr>
            <w:tcW w:w="680" w:type="dxa"/>
          </w:tcPr>
          <w:p>
            <w:pPr>
              <w:pStyle w:val="0"/>
            </w:pPr>
            <w:r>
              <w:rPr>
                <w:sz w:val="24"/>
              </w:rPr>
            </w:r>
          </w:p>
        </w:tc>
        <w:tc>
          <w:tcPr>
            <w:tcW w:w="680" w:type="dxa"/>
          </w:tcPr>
          <w:p>
            <w:pPr>
              <w:pStyle w:val="0"/>
            </w:pPr>
            <w:r>
              <w:rPr>
                <w:sz w:val="24"/>
              </w:rPr>
            </w:r>
          </w:p>
        </w:tc>
        <w:tc>
          <w:tcPr>
            <w:tcW w:w="680" w:type="dxa"/>
          </w:tcPr>
          <w:p>
            <w:pPr>
              <w:pStyle w:val="0"/>
            </w:pPr>
            <w:r>
              <w:rPr>
                <w:sz w:val="24"/>
              </w:rPr>
            </w:r>
          </w:p>
        </w:tc>
        <w:tc>
          <w:tcPr>
            <w:tcW w:w="1133" w:type="dxa"/>
          </w:tcPr>
          <w:p>
            <w:pPr>
              <w:pStyle w:val="0"/>
            </w:pPr>
            <w:r>
              <w:rPr>
                <w:sz w:val="24"/>
              </w:rPr>
            </w:r>
          </w:p>
        </w:tc>
      </w:tr>
      <w:tr>
        <w:tc>
          <w:tcPr>
            <w:vMerge w:val="continue"/>
          </w:tcPr>
          <w:p/>
        </w:tc>
        <w:tc>
          <w:tcPr>
            <w:tcW w:w="566" w:type="dxa"/>
          </w:tcPr>
          <w:p>
            <w:pPr>
              <w:pStyle w:val="0"/>
            </w:pPr>
            <w:r>
              <w:rPr>
                <w:sz w:val="24"/>
              </w:rPr>
            </w:r>
          </w:p>
        </w:tc>
        <w:tc>
          <w:tcPr>
            <w:tcW w:w="850" w:type="dxa"/>
          </w:tcPr>
          <w:p>
            <w:pPr>
              <w:pStyle w:val="0"/>
            </w:pPr>
            <w:r>
              <w:rPr>
                <w:sz w:val="24"/>
              </w:rPr>
            </w:r>
          </w:p>
        </w:tc>
        <w:tc>
          <w:tcPr>
            <w:tcW w:w="1020" w:type="dxa"/>
          </w:tcPr>
          <w:p>
            <w:pPr>
              <w:pStyle w:val="0"/>
            </w:pPr>
            <w:r>
              <w:rPr>
                <w:sz w:val="24"/>
              </w:rPr>
            </w:r>
          </w:p>
        </w:tc>
        <w:tc>
          <w:tcPr>
            <w:tcW w:w="1020" w:type="dxa"/>
          </w:tcPr>
          <w:p>
            <w:pPr>
              <w:pStyle w:val="0"/>
            </w:pPr>
            <w:r>
              <w:rPr>
                <w:sz w:val="24"/>
              </w:rPr>
            </w:r>
          </w:p>
        </w:tc>
        <w:tc>
          <w:tcPr>
            <w:tcW w:w="793" w:type="dxa"/>
          </w:tcPr>
          <w:p>
            <w:pPr>
              <w:pStyle w:val="0"/>
            </w:pPr>
            <w:r>
              <w:rPr>
                <w:sz w:val="24"/>
              </w:rPr>
            </w:r>
          </w:p>
        </w:tc>
        <w:tc>
          <w:tcPr>
            <w:tcW w:w="680" w:type="dxa"/>
          </w:tcPr>
          <w:p>
            <w:pPr>
              <w:pStyle w:val="0"/>
            </w:pPr>
            <w:r>
              <w:rPr>
                <w:sz w:val="24"/>
              </w:rPr>
            </w:r>
          </w:p>
        </w:tc>
        <w:tc>
          <w:tcPr>
            <w:tcW w:w="1020" w:type="dxa"/>
          </w:tcPr>
          <w:p>
            <w:pPr>
              <w:pStyle w:val="0"/>
            </w:pPr>
            <w:r>
              <w:rPr>
                <w:sz w:val="24"/>
              </w:rPr>
            </w:r>
          </w:p>
        </w:tc>
        <w:tc>
          <w:tcPr>
            <w:tcW w:w="793" w:type="dxa"/>
          </w:tcPr>
          <w:p>
            <w:pPr>
              <w:pStyle w:val="0"/>
            </w:pPr>
            <w:r>
              <w:rPr>
                <w:sz w:val="24"/>
              </w:rPr>
            </w:r>
          </w:p>
        </w:tc>
        <w:tc>
          <w:tcPr>
            <w:tcW w:w="1303" w:type="dxa"/>
          </w:tcPr>
          <w:p>
            <w:pPr>
              <w:pStyle w:val="0"/>
            </w:pPr>
            <w:r>
              <w:rPr>
                <w:sz w:val="24"/>
              </w:rPr>
            </w:r>
          </w:p>
        </w:tc>
        <w:tc>
          <w:tcPr>
            <w:tcW w:w="793" w:type="dxa"/>
          </w:tcPr>
          <w:p>
            <w:pPr>
              <w:pStyle w:val="0"/>
            </w:pPr>
            <w:r>
              <w:rPr>
                <w:sz w:val="24"/>
              </w:rPr>
            </w:r>
          </w:p>
        </w:tc>
        <w:tc>
          <w:tcPr>
            <w:tcW w:w="793" w:type="dxa"/>
          </w:tcPr>
          <w:p>
            <w:pPr>
              <w:pStyle w:val="0"/>
            </w:pPr>
            <w:r>
              <w:rPr>
                <w:sz w:val="24"/>
              </w:rPr>
            </w:r>
          </w:p>
        </w:tc>
        <w:tc>
          <w:tcPr>
            <w:tcW w:w="680" w:type="dxa"/>
          </w:tcPr>
          <w:p>
            <w:pPr>
              <w:pStyle w:val="0"/>
            </w:pPr>
            <w:r>
              <w:rPr>
                <w:sz w:val="24"/>
              </w:rPr>
            </w:r>
          </w:p>
        </w:tc>
        <w:tc>
          <w:tcPr>
            <w:tcW w:w="680" w:type="dxa"/>
          </w:tcPr>
          <w:p>
            <w:pPr>
              <w:pStyle w:val="0"/>
            </w:pPr>
            <w:r>
              <w:rPr>
                <w:sz w:val="24"/>
              </w:rPr>
            </w:r>
          </w:p>
        </w:tc>
        <w:tc>
          <w:tcPr>
            <w:tcW w:w="680" w:type="dxa"/>
          </w:tcPr>
          <w:p>
            <w:pPr>
              <w:pStyle w:val="0"/>
            </w:pPr>
            <w:r>
              <w:rPr>
                <w:sz w:val="24"/>
              </w:rPr>
            </w:r>
          </w:p>
        </w:tc>
        <w:tc>
          <w:tcPr>
            <w:tcW w:w="1133" w:type="dxa"/>
          </w:tcPr>
          <w:p>
            <w:pPr>
              <w:pStyle w:val="0"/>
            </w:pPr>
            <w:r>
              <w:rPr>
                <w:sz w:val="24"/>
              </w:rPr>
            </w:r>
          </w:p>
        </w:tc>
      </w:tr>
      <w:tr>
        <w:tc>
          <w:tcPr>
            <w:tcW w:w="793" w:type="dxa"/>
            <w:vMerge w:val="restart"/>
          </w:tcPr>
          <w:p>
            <w:pPr>
              <w:pStyle w:val="0"/>
            </w:pPr>
            <w:r>
              <w:rPr>
                <w:sz w:val="24"/>
              </w:rPr>
            </w:r>
          </w:p>
        </w:tc>
        <w:tc>
          <w:tcPr>
            <w:tcW w:w="566" w:type="dxa"/>
          </w:tcPr>
          <w:p>
            <w:pPr>
              <w:pStyle w:val="0"/>
            </w:pPr>
            <w:r>
              <w:rPr>
                <w:sz w:val="24"/>
              </w:rPr>
            </w:r>
          </w:p>
        </w:tc>
        <w:tc>
          <w:tcPr>
            <w:tcW w:w="850" w:type="dxa"/>
          </w:tcPr>
          <w:p>
            <w:pPr>
              <w:pStyle w:val="0"/>
            </w:pPr>
            <w:r>
              <w:rPr>
                <w:sz w:val="24"/>
              </w:rPr>
            </w:r>
          </w:p>
        </w:tc>
        <w:tc>
          <w:tcPr>
            <w:tcW w:w="1020" w:type="dxa"/>
          </w:tcPr>
          <w:p>
            <w:pPr>
              <w:pStyle w:val="0"/>
            </w:pPr>
            <w:r>
              <w:rPr>
                <w:sz w:val="24"/>
              </w:rPr>
            </w:r>
          </w:p>
        </w:tc>
        <w:tc>
          <w:tcPr>
            <w:tcW w:w="1020" w:type="dxa"/>
          </w:tcPr>
          <w:p>
            <w:pPr>
              <w:pStyle w:val="0"/>
            </w:pPr>
            <w:r>
              <w:rPr>
                <w:sz w:val="24"/>
              </w:rPr>
            </w:r>
          </w:p>
        </w:tc>
        <w:tc>
          <w:tcPr>
            <w:tcW w:w="793" w:type="dxa"/>
          </w:tcPr>
          <w:p>
            <w:pPr>
              <w:pStyle w:val="0"/>
            </w:pPr>
            <w:r>
              <w:rPr>
                <w:sz w:val="24"/>
              </w:rPr>
            </w:r>
          </w:p>
        </w:tc>
        <w:tc>
          <w:tcPr>
            <w:tcW w:w="680" w:type="dxa"/>
          </w:tcPr>
          <w:p>
            <w:pPr>
              <w:pStyle w:val="0"/>
            </w:pPr>
            <w:r>
              <w:rPr>
                <w:sz w:val="24"/>
              </w:rPr>
            </w:r>
          </w:p>
        </w:tc>
        <w:tc>
          <w:tcPr>
            <w:tcW w:w="1020" w:type="dxa"/>
          </w:tcPr>
          <w:p>
            <w:pPr>
              <w:pStyle w:val="0"/>
            </w:pPr>
            <w:r>
              <w:rPr>
                <w:sz w:val="24"/>
              </w:rPr>
            </w:r>
          </w:p>
        </w:tc>
        <w:tc>
          <w:tcPr>
            <w:tcW w:w="793" w:type="dxa"/>
          </w:tcPr>
          <w:p>
            <w:pPr>
              <w:pStyle w:val="0"/>
            </w:pPr>
            <w:r>
              <w:rPr>
                <w:sz w:val="24"/>
              </w:rPr>
            </w:r>
          </w:p>
        </w:tc>
        <w:tc>
          <w:tcPr>
            <w:tcW w:w="1303" w:type="dxa"/>
          </w:tcPr>
          <w:p>
            <w:pPr>
              <w:pStyle w:val="0"/>
            </w:pPr>
            <w:r>
              <w:rPr>
                <w:sz w:val="24"/>
              </w:rPr>
            </w:r>
          </w:p>
        </w:tc>
        <w:tc>
          <w:tcPr>
            <w:tcW w:w="793" w:type="dxa"/>
          </w:tcPr>
          <w:p>
            <w:pPr>
              <w:pStyle w:val="0"/>
            </w:pPr>
            <w:r>
              <w:rPr>
                <w:sz w:val="24"/>
              </w:rPr>
            </w:r>
          </w:p>
        </w:tc>
        <w:tc>
          <w:tcPr>
            <w:tcW w:w="793" w:type="dxa"/>
          </w:tcPr>
          <w:p>
            <w:pPr>
              <w:pStyle w:val="0"/>
            </w:pPr>
            <w:r>
              <w:rPr>
                <w:sz w:val="24"/>
              </w:rPr>
            </w:r>
          </w:p>
        </w:tc>
        <w:tc>
          <w:tcPr>
            <w:tcW w:w="680" w:type="dxa"/>
          </w:tcPr>
          <w:p>
            <w:pPr>
              <w:pStyle w:val="0"/>
            </w:pPr>
            <w:r>
              <w:rPr>
                <w:sz w:val="24"/>
              </w:rPr>
            </w:r>
          </w:p>
        </w:tc>
        <w:tc>
          <w:tcPr>
            <w:tcW w:w="680" w:type="dxa"/>
          </w:tcPr>
          <w:p>
            <w:pPr>
              <w:pStyle w:val="0"/>
            </w:pPr>
            <w:r>
              <w:rPr>
                <w:sz w:val="24"/>
              </w:rPr>
            </w:r>
          </w:p>
        </w:tc>
        <w:tc>
          <w:tcPr>
            <w:tcW w:w="680" w:type="dxa"/>
          </w:tcPr>
          <w:p>
            <w:pPr>
              <w:pStyle w:val="0"/>
            </w:pPr>
            <w:r>
              <w:rPr>
                <w:sz w:val="24"/>
              </w:rPr>
            </w:r>
          </w:p>
        </w:tc>
        <w:tc>
          <w:tcPr>
            <w:tcW w:w="1133" w:type="dxa"/>
          </w:tcPr>
          <w:p>
            <w:pPr>
              <w:pStyle w:val="0"/>
            </w:pPr>
            <w:r>
              <w:rPr>
                <w:sz w:val="24"/>
              </w:rPr>
            </w:r>
          </w:p>
        </w:tc>
      </w:tr>
      <w:tr>
        <w:tc>
          <w:tcPr>
            <w:vMerge w:val="continue"/>
          </w:tcPr>
          <w:p/>
        </w:tc>
        <w:tc>
          <w:tcPr>
            <w:tcW w:w="566" w:type="dxa"/>
          </w:tcPr>
          <w:p>
            <w:pPr>
              <w:pStyle w:val="0"/>
            </w:pPr>
            <w:r>
              <w:rPr>
                <w:sz w:val="24"/>
              </w:rPr>
            </w:r>
          </w:p>
        </w:tc>
        <w:tc>
          <w:tcPr>
            <w:tcW w:w="850" w:type="dxa"/>
          </w:tcPr>
          <w:p>
            <w:pPr>
              <w:pStyle w:val="0"/>
            </w:pPr>
            <w:r>
              <w:rPr>
                <w:sz w:val="24"/>
              </w:rPr>
            </w:r>
          </w:p>
        </w:tc>
        <w:tc>
          <w:tcPr>
            <w:tcW w:w="1020" w:type="dxa"/>
          </w:tcPr>
          <w:p>
            <w:pPr>
              <w:pStyle w:val="0"/>
            </w:pPr>
            <w:r>
              <w:rPr>
                <w:sz w:val="24"/>
              </w:rPr>
            </w:r>
          </w:p>
        </w:tc>
        <w:tc>
          <w:tcPr>
            <w:tcW w:w="1020" w:type="dxa"/>
          </w:tcPr>
          <w:p>
            <w:pPr>
              <w:pStyle w:val="0"/>
            </w:pPr>
            <w:r>
              <w:rPr>
                <w:sz w:val="24"/>
              </w:rPr>
            </w:r>
          </w:p>
        </w:tc>
        <w:tc>
          <w:tcPr>
            <w:tcW w:w="793" w:type="dxa"/>
          </w:tcPr>
          <w:p>
            <w:pPr>
              <w:pStyle w:val="0"/>
            </w:pPr>
            <w:r>
              <w:rPr>
                <w:sz w:val="24"/>
              </w:rPr>
            </w:r>
          </w:p>
        </w:tc>
        <w:tc>
          <w:tcPr>
            <w:tcW w:w="680" w:type="dxa"/>
          </w:tcPr>
          <w:p>
            <w:pPr>
              <w:pStyle w:val="0"/>
            </w:pPr>
            <w:r>
              <w:rPr>
                <w:sz w:val="24"/>
              </w:rPr>
            </w:r>
          </w:p>
        </w:tc>
        <w:tc>
          <w:tcPr>
            <w:tcW w:w="1020" w:type="dxa"/>
          </w:tcPr>
          <w:p>
            <w:pPr>
              <w:pStyle w:val="0"/>
            </w:pPr>
            <w:r>
              <w:rPr>
                <w:sz w:val="24"/>
              </w:rPr>
            </w:r>
          </w:p>
        </w:tc>
        <w:tc>
          <w:tcPr>
            <w:tcW w:w="793" w:type="dxa"/>
          </w:tcPr>
          <w:p>
            <w:pPr>
              <w:pStyle w:val="0"/>
            </w:pPr>
            <w:r>
              <w:rPr>
                <w:sz w:val="24"/>
              </w:rPr>
            </w:r>
          </w:p>
        </w:tc>
        <w:tc>
          <w:tcPr>
            <w:tcW w:w="1303" w:type="dxa"/>
          </w:tcPr>
          <w:p>
            <w:pPr>
              <w:pStyle w:val="0"/>
            </w:pPr>
            <w:r>
              <w:rPr>
                <w:sz w:val="24"/>
              </w:rPr>
            </w:r>
          </w:p>
        </w:tc>
        <w:tc>
          <w:tcPr>
            <w:tcW w:w="793" w:type="dxa"/>
          </w:tcPr>
          <w:p>
            <w:pPr>
              <w:pStyle w:val="0"/>
            </w:pPr>
            <w:r>
              <w:rPr>
                <w:sz w:val="24"/>
              </w:rPr>
            </w:r>
          </w:p>
        </w:tc>
        <w:tc>
          <w:tcPr>
            <w:tcW w:w="793" w:type="dxa"/>
          </w:tcPr>
          <w:p>
            <w:pPr>
              <w:pStyle w:val="0"/>
            </w:pPr>
            <w:r>
              <w:rPr>
                <w:sz w:val="24"/>
              </w:rPr>
            </w:r>
          </w:p>
        </w:tc>
        <w:tc>
          <w:tcPr>
            <w:tcW w:w="680" w:type="dxa"/>
          </w:tcPr>
          <w:p>
            <w:pPr>
              <w:pStyle w:val="0"/>
            </w:pPr>
            <w:r>
              <w:rPr>
                <w:sz w:val="24"/>
              </w:rPr>
            </w:r>
          </w:p>
        </w:tc>
        <w:tc>
          <w:tcPr>
            <w:tcW w:w="680" w:type="dxa"/>
          </w:tcPr>
          <w:p>
            <w:pPr>
              <w:pStyle w:val="0"/>
            </w:pPr>
            <w:r>
              <w:rPr>
                <w:sz w:val="24"/>
              </w:rPr>
            </w:r>
          </w:p>
        </w:tc>
        <w:tc>
          <w:tcPr>
            <w:tcW w:w="680" w:type="dxa"/>
          </w:tcPr>
          <w:p>
            <w:pPr>
              <w:pStyle w:val="0"/>
            </w:pPr>
            <w:r>
              <w:rPr>
                <w:sz w:val="24"/>
              </w:rPr>
            </w:r>
          </w:p>
        </w:tc>
        <w:tc>
          <w:tcPr>
            <w:tcW w:w="1133" w:type="dxa"/>
          </w:tcPr>
          <w:p>
            <w:pPr>
              <w:pStyle w:val="0"/>
            </w:pPr>
            <w:r>
              <w:rPr>
                <w:sz w:val="24"/>
              </w:rPr>
            </w:r>
          </w:p>
        </w:tc>
      </w:tr>
      <w:tr>
        <w:tc>
          <w:tcPr>
            <w:tcW w:w="793" w:type="dxa"/>
            <w:vMerge w:val="restart"/>
          </w:tcPr>
          <w:p>
            <w:pPr>
              <w:pStyle w:val="0"/>
            </w:pPr>
            <w:r>
              <w:rPr>
                <w:sz w:val="24"/>
              </w:rPr>
            </w:r>
          </w:p>
        </w:tc>
        <w:tc>
          <w:tcPr>
            <w:tcW w:w="566" w:type="dxa"/>
          </w:tcPr>
          <w:p>
            <w:pPr>
              <w:pStyle w:val="0"/>
            </w:pPr>
            <w:r>
              <w:rPr>
                <w:sz w:val="24"/>
              </w:rPr>
            </w:r>
          </w:p>
        </w:tc>
        <w:tc>
          <w:tcPr>
            <w:tcW w:w="850" w:type="dxa"/>
          </w:tcPr>
          <w:p>
            <w:pPr>
              <w:pStyle w:val="0"/>
            </w:pPr>
            <w:r>
              <w:rPr>
                <w:sz w:val="24"/>
              </w:rPr>
            </w:r>
          </w:p>
        </w:tc>
        <w:tc>
          <w:tcPr>
            <w:tcW w:w="1020" w:type="dxa"/>
          </w:tcPr>
          <w:p>
            <w:pPr>
              <w:pStyle w:val="0"/>
            </w:pPr>
            <w:r>
              <w:rPr>
                <w:sz w:val="24"/>
              </w:rPr>
            </w:r>
          </w:p>
        </w:tc>
        <w:tc>
          <w:tcPr>
            <w:tcW w:w="1020" w:type="dxa"/>
          </w:tcPr>
          <w:p>
            <w:pPr>
              <w:pStyle w:val="0"/>
            </w:pPr>
            <w:r>
              <w:rPr>
                <w:sz w:val="24"/>
              </w:rPr>
            </w:r>
          </w:p>
        </w:tc>
        <w:tc>
          <w:tcPr>
            <w:tcW w:w="793" w:type="dxa"/>
          </w:tcPr>
          <w:p>
            <w:pPr>
              <w:pStyle w:val="0"/>
            </w:pPr>
            <w:r>
              <w:rPr>
                <w:sz w:val="24"/>
              </w:rPr>
            </w:r>
          </w:p>
        </w:tc>
        <w:tc>
          <w:tcPr>
            <w:tcW w:w="680" w:type="dxa"/>
          </w:tcPr>
          <w:p>
            <w:pPr>
              <w:pStyle w:val="0"/>
            </w:pPr>
            <w:r>
              <w:rPr>
                <w:sz w:val="24"/>
              </w:rPr>
            </w:r>
          </w:p>
        </w:tc>
        <w:tc>
          <w:tcPr>
            <w:tcW w:w="1020" w:type="dxa"/>
          </w:tcPr>
          <w:p>
            <w:pPr>
              <w:pStyle w:val="0"/>
            </w:pPr>
            <w:r>
              <w:rPr>
                <w:sz w:val="24"/>
              </w:rPr>
            </w:r>
          </w:p>
        </w:tc>
        <w:tc>
          <w:tcPr>
            <w:tcW w:w="793" w:type="dxa"/>
          </w:tcPr>
          <w:p>
            <w:pPr>
              <w:pStyle w:val="0"/>
            </w:pPr>
            <w:r>
              <w:rPr>
                <w:sz w:val="24"/>
              </w:rPr>
            </w:r>
          </w:p>
        </w:tc>
        <w:tc>
          <w:tcPr>
            <w:tcW w:w="1303" w:type="dxa"/>
          </w:tcPr>
          <w:p>
            <w:pPr>
              <w:pStyle w:val="0"/>
            </w:pPr>
            <w:r>
              <w:rPr>
                <w:sz w:val="24"/>
              </w:rPr>
            </w:r>
          </w:p>
        </w:tc>
        <w:tc>
          <w:tcPr>
            <w:tcW w:w="793" w:type="dxa"/>
          </w:tcPr>
          <w:p>
            <w:pPr>
              <w:pStyle w:val="0"/>
            </w:pPr>
            <w:r>
              <w:rPr>
                <w:sz w:val="24"/>
              </w:rPr>
            </w:r>
          </w:p>
        </w:tc>
        <w:tc>
          <w:tcPr>
            <w:tcW w:w="793" w:type="dxa"/>
          </w:tcPr>
          <w:p>
            <w:pPr>
              <w:pStyle w:val="0"/>
            </w:pPr>
            <w:r>
              <w:rPr>
                <w:sz w:val="24"/>
              </w:rPr>
            </w:r>
          </w:p>
        </w:tc>
        <w:tc>
          <w:tcPr>
            <w:tcW w:w="680" w:type="dxa"/>
          </w:tcPr>
          <w:p>
            <w:pPr>
              <w:pStyle w:val="0"/>
            </w:pPr>
            <w:r>
              <w:rPr>
                <w:sz w:val="24"/>
              </w:rPr>
            </w:r>
          </w:p>
        </w:tc>
        <w:tc>
          <w:tcPr>
            <w:tcW w:w="680" w:type="dxa"/>
          </w:tcPr>
          <w:p>
            <w:pPr>
              <w:pStyle w:val="0"/>
            </w:pPr>
            <w:r>
              <w:rPr>
                <w:sz w:val="24"/>
              </w:rPr>
            </w:r>
          </w:p>
        </w:tc>
        <w:tc>
          <w:tcPr>
            <w:tcW w:w="680" w:type="dxa"/>
          </w:tcPr>
          <w:p>
            <w:pPr>
              <w:pStyle w:val="0"/>
            </w:pPr>
            <w:r>
              <w:rPr>
                <w:sz w:val="24"/>
              </w:rPr>
            </w:r>
          </w:p>
        </w:tc>
        <w:tc>
          <w:tcPr>
            <w:tcW w:w="1133" w:type="dxa"/>
          </w:tcPr>
          <w:p>
            <w:pPr>
              <w:pStyle w:val="0"/>
            </w:pPr>
            <w:r>
              <w:rPr>
                <w:sz w:val="24"/>
              </w:rPr>
            </w:r>
          </w:p>
        </w:tc>
      </w:tr>
      <w:tr>
        <w:tc>
          <w:tcPr>
            <w:vMerge w:val="continue"/>
          </w:tcPr>
          <w:p/>
        </w:tc>
        <w:tc>
          <w:tcPr>
            <w:tcW w:w="566" w:type="dxa"/>
          </w:tcPr>
          <w:p>
            <w:pPr>
              <w:pStyle w:val="0"/>
            </w:pPr>
            <w:r>
              <w:rPr>
                <w:sz w:val="24"/>
              </w:rPr>
            </w:r>
          </w:p>
        </w:tc>
        <w:tc>
          <w:tcPr>
            <w:tcW w:w="850" w:type="dxa"/>
          </w:tcPr>
          <w:p>
            <w:pPr>
              <w:pStyle w:val="0"/>
            </w:pPr>
            <w:r>
              <w:rPr>
                <w:sz w:val="24"/>
              </w:rPr>
            </w:r>
          </w:p>
        </w:tc>
        <w:tc>
          <w:tcPr>
            <w:tcW w:w="1020" w:type="dxa"/>
          </w:tcPr>
          <w:p>
            <w:pPr>
              <w:pStyle w:val="0"/>
            </w:pPr>
            <w:r>
              <w:rPr>
                <w:sz w:val="24"/>
              </w:rPr>
            </w:r>
          </w:p>
        </w:tc>
        <w:tc>
          <w:tcPr>
            <w:tcW w:w="1020" w:type="dxa"/>
          </w:tcPr>
          <w:p>
            <w:pPr>
              <w:pStyle w:val="0"/>
            </w:pPr>
            <w:r>
              <w:rPr>
                <w:sz w:val="24"/>
              </w:rPr>
            </w:r>
          </w:p>
        </w:tc>
        <w:tc>
          <w:tcPr>
            <w:tcW w:w="793" w:type="dxa"/>
          </w:tcPr>
          <w:p>
            <w:pPr>
              <w:pStyle w:val="0"/>
            </w:pPr>
            <w:r>
              <w:rPr>
                <w:sz w:val="24"/>
              </w:rPr>
            </w:r>
          </w:p>
        </w:tc>
        <w:tc>
          <w:tcPr>
            <w:tcW w:w="680" w:type="dxa"/>
          </w:tcPr>
          <w:p>
            <w:pPr>
              <w:pStyle w:val="0"/>
            </w:pPr>
            <w:r>
              <w:rPr>
                <w:sz w:val="24"/>
              </w:rPr>
            </w:r>
          </w:p>
        </w:tc>
        <w:tc>
          <w:tcPr>
            <w:tcW w:w="1020" w:type="dxa"/>
          </w:tcPr>
          <w:p>
            <w:pPr>
              <w:pStyle w:val="0"/>
            </w:pPr>
            <w:r>
              <w:rPr>
                <w:sz w:val="24"/>
              </w:rPr>
            </w:r>
          </w:p>
        </w:tc>
        <w:tc>
          <w:tcPr>
            <w:tcW w:w="793" w:type="dxa"/>
          </w:tcPr>
          <w:p>
            <w:pPr>
              <w:pStyle w:val="0"/>
            </w:pPr>
            <w:r>
              <w:rPr>
                <w:sz w:val="24"/>
              </w:rPr>
            </w:r>
          </w:p>
        </w:tc>
        <w:tc>
          <w:tcPr>
            <w:tcW w:w="1303" w:type="dxa"/>
          </w:tcPr>
          <w:p>
            <w:pPr>
              <w:pStyle w:val="0"/>
            </w:pPr>
            <w:r>
              <w:rPr>
                <w:sz w:val="24"/>
              </w:rPr>
            </w:r>
          </w:p>
        </w:tc>
        <w:tc>
          <w:tcPr>
            <w:tcW w:w="793" w:type="dxa"/>
          </w:tcPr>
          <w:p>
            <w:pPr>
              <w:pStyle w:val="0"/>
            </w:pPr>
            <w:r>
              <w:rPr>
                <w:sz w:val="24"/>
              </w:rPr>
            </w:r>
          </w:p>
        </w:tc>
        <w:tc>
          <w:tcPr>
            <w:tcW w:w="793" w:type="dxa"/>
          </w:tcPr>
          <w:p>
            <w:pPr>
              <w:pStyle w:val="0"/>
            </w:pPr>
            <w:r>
              <w:rPr>
                <w:sz w:val="24"/>
              </w:rPr>
            </w:r>
          </w:p>
        </w:tc>
        <w:tc>
          <w:tcPr>
            <w:tcW w:w="680" w:type="dxa"/>
          </w:tcPr>
          <w:p>
            <w:pPr>
              <w:pStyle w:val="0"/>
            </w:pPr>
            <w:r>
              <w:rPr>
                <w:sz w:val="24"/>
              </w:rPr>
            </w:r>
          </w:p>
        </w:tc>
        <w:tc>
          <w:tcPr>
            <w:tcW w:w="680" w:type="dxa"/>
          </w:tcPr>
          <w:p>
            <w:pPr>
              <w:pStyle w:val="0"/>
            </w:pPr>
            <w:r>
              <w:rPr>
                <w:sz w:val="24"/>
              </w:rPr>
            </w:r>
          </w:p>
        </w:tc>
        <w:tc>
          <w:tcPr>
            <w:tcW w:w="680" w:type="dxa"/>
          </w:tcPr>
          <w:p>
            <w:pPr>
              <w:pStyle w:val="0"/>
            </w:pPr>
            <w:r>
              <w:rPr>
                <w:sz w:val="24"/>
              </w:rPr>
            </w:r>
          </w:p>
        </w:tc>
        <w:tc>
          <w:tcPr>
            <w:tcW w:w="1133" w:type="dxa"/>
          </w:tcPr>
          <w:p>
            <w:pPr>
              <w:pStyle w:val="0"/>
            </w:pPr>
            <w:r>
              <w:rPr>
                <w:sz w:val="24"/>
              </w:rPr>
            </w:r>
          </w:p>
        </w:tc>
      </w:tr>
    </w:tbl>
    <w:p>
      <w:pPr>
        <w:pStyle w:val="0"/>
        <w:jc w:val="both"/>
      </w:pPr>
      <w:r>
        <w:rPr>
          <w:sz w:val="24"/>
        </w:rPr>
      </w:r>
    </w:p>
    <w:tbl>
      <w:tblPr>
        <w:tblInd w:w="0" w:type="dxa"/>
        <w:tblLayout w:type="fixed"/>
        <w:tblBorders>
          <w:left w:val="single" w:sz="4"/>
          <w:bottom w:val="single" w:sz="4"/>
          <w:right w:val="single" w:sz="4"/>
          <w:insideV w:val="single" w:sz="4"/>
          <w:insideH w:val="single" w:sz="4"/>
        </w:tblBorders>
        <w:tblCellMar>
          <w:top w:w="102" w:type="dxa"/>
          <w:left w:w="62" w:type="dxa"/>
          <w:bottom w:w="102" w:type="dxa"/>
          <w:right w:w="62" w:type="dxa"/>
        </w:tblCellMar>
      </w:tblPr>
      <w:tblGrid>
        <w:gridCol w:w="793"/>
        <w:gridCol w:w="566"/>
        <w:gridCol w:w="850"/>
        <w:gridCol w:w="1020"/>
        <w:gridCol w:w="1020"/>
        <w:gridCol w:w="793"/>
        <w:gridCol w:w="680"/>
        <w:gridCol w:w="1020"/>
        <w:gridCol w:w="793"/>
        <w:gridCol w:w="1303"/>
        <w:gridCol w:w="793"/>
        <w:gridCol w:w="793"/>
        <w:gridCol w:w="680"/>
        <w:gridCol w:w="680"/>
        <w:gridCol w:w="680"/>
        <w:gridCol w:w="1133"/>
      </w:tblGrid>
      <w:tr>
        <w:tblPrEx>
          <w:tblBorders>
            <w:left w:val="nil"/>
            <w:right w:val="nil"/>
          </w:tblBorders>
        </w:tblPrEx>
        <w:tc>
          <w:tcPr>
            <w:gridSpan w:val="16"/>
            <w:tcW w:w="13597" w:type="dxa"/>
            <w:tcBorders>
              <w:top w:val="nil"/>
              <w:left w:val="nil"/>
              <w:right w:val="nil"/>
            </w:tcBorders>
          </w:tcPr>
          <w:p>
            <w:pPr>
              <w:pStyle w:val="0"/>
              <w:outlineLvl w:val="3"/>
              <w:ind w:firstLine="283"/>
              <w:jc w:val="both"/>
            </w:pPr>
            <w:r>
              <w:rPr>
                <w:sz w:val="24"/>
              </w:rPr>
              <w:t xml:space="preserve">Первичная медико-санитарная помощь. Амбулаторно. Диагностические исследования</w:t>
            </w:r>
          </w:p>
        </w:tc>
      </w:tr>
      <w:tr>
        <w:tc>
          <w:tcPr>
            <w:tcW w:w="793" w:type="dxa"/>
          </w:tcPr>
          <w:p>
            <w:pPr>
              <w:pStyle w:val="0"/>
              <w:jc w:val="center"/>
            </w:pPr>
            <w:r>
              <w:rPr>
                <w:sz w:val="24"/>
              </w:rPr>
              <w:t xml:space="preserve">Источник финансового обеспечения</w:t>
            </w:r>
          </w:p>
        </w:tc>
        <w:tc>
          <w:tcPr>
            <w:tcW w:w="566" w:type="dxa"/>
          </w:tcPr>
          <w:p>
            <w:pPr>
              <w:pStyle w:val="0"/>
              <w:jc w:val="center"/>
            </w:pPr>
            <w:r>
              <w:rPr>
                <w:sz w:val="24"/>
              </w:rPr>
              <w:t xml:space="preserve">N пп</w:t>
            </w:r>
          </w:p>
        </w:tc>
        <w:tc>
          <w:tcPr>
            <w:tcW w:w="850" w:type="dxa"/>
          </w:tcPr>
          <w:p>
            <w:pPr>
              <w:pStyle w:val="0"/>
              <w:jc w:val="center"/>
            </w:pPr>
            <w:r>
              <w:rPr>
                <w:sz w:val="24"/>
              </w:rPr>
              <w:t xml:space="preserve">Наименование</w:t>
            </w:r>
          </w:p>
        </w:tc>
        <w:tc>
          <w:tcPr>
            <w:tcW w:w="1020" w:type="dxa"/>
          </w:tcPr>
          <w:p>
            <w:pPr>
              <w:pStyle w:val="0"/>
              <w:jc w:val="center"/>
            </w:pPr>
            <w:r>
              <w:rPr>
                <w:sz w:val="24"/>
              </w:rPr>
              <w:t xml:space="preserve">Количество</w:t>
            </w:r>
          </w:p>
        </w:tc>
        <w:tc>
          <w:tcPr>
            <w:tcW w:w="1020" w:type="dxa"/>
          </w:tcPr>
          <w:p>
            <w:pPr>
              <w:pStyle w:val="0"/>
              <w:jc w:val="center"/>
            </w:pPr>
            <w:r>
              <w:rPr>
                <w:sz w:val="24"/>
              </w:rPr>
              <w:t xml:space="preserve">Компьютерная томография</w:t>
            </w:r>
          </w:p>
        </w:tc>
        <w:tc>
          <w:tcPr>
            <w:tcW w:w="793" w:type="dxa"/>
          </w:tcPr>
          <w:p>
            <w:pPr>
              <w:pStyle w:val="0"/>
              <w:jc w:val="center"/>
            </w:pPr>
            <w:r>
              <w:rPr>
                <w:sz w:val="24"/>
              </w:rPr>
              <w:t xml:space="preserve">Магнитно-резонансная томография</w:t>
            </w:r>
          </w:p>
        </w:tc>
        <w:tc>
          <w:tcPr>
            <w:tcW w:w="680" w:type="dxa"/>
          </w:tcPr>
          <w:p>
            <w:pPr>
              <w:pStyle w:val="0"/>
              <w:jc w:val="center"/>
            </w:pPr>
            <w:r>
              <w:rPr>
                <w:sz w:val="24"/>
              </w:rPr>
              <w:t xml:space="preserve">Ультразвуковое исследование сердечно-сосудистой системы</w:t>
            </w:r>
          </w:p>
        </w:tc>
        <w:tc>
          <w:tcPr>
            <w:tcW w:w="1020" w:type="dxa"/>
          </w:tcPr>
          <w:p>
            <w:pPr>
              <w:pStyle w:val="0"/>
              <w:jc w:val="center"/>
            </w:pPr>
            <w:r>
              <w:rPr>
                <w:sz w:val="24"/>
              </w:rPr>
              <w:t xml:space="preserve">Эндоскопическое диагностическое исследование</w:t>
            </w:r>
          </w:p>
        </w:tc>
        <w:tc>
          <w:tcPr>
            <w:tcW w:w="793" w:type="dxa"/>
          </w:tcPr>
          <w:p>
            <w:pPr>
              <w:pStyle w:val="0"/>
              <w:jc w:val="center"/>
            </w:pPr>
            <w:r>
              <w:rPr>
                <w:sz w:val="24"/>
              </w:rPr>
              <w:t xml:space="preserve">Патолого-анатомическое исследование биопсийного (операционного) материала</w:t>
            </w:r>
          </w:p>
        </w:tc>
        <w:tc>
          <w:tcPr>
            <w:tcW w:w="1303" w:type="dxa"/>
          </w:tcPr>
          <w:p>
            <w:pPr>
              <w:pStyle w:val="0"/>
              <w:jc w:val="center"/>
            </w:pPr>
            <w:r>
              <w:rPr>
                <w:sz w:val="24"/>
              </w:rPr>
              <w:t xml:space="preserve">Молекулярно-генетическое исследование</w:t>
            </w:r>
          </w:p>
        </w:tc>
        <w:tc>
          <w:tcPr>
            <w:tcW w:w="793" w:type="dxa"/>
          </w:tcPr>
          <w:p>
            <w:pPr>
              <w:pStyle w:val="0"/>
              <w:jc w:val="center"/>
            </w:pPr>
            <w:r>
              <w:rPr>
                <w:sz w:val="24"/>
              </w:rPr>
              <w:t xml:space="preserve">Сцинтиграфия</w:t>
            </w:r>
          </w:p>
        </w:tc>
        <w:tc>
          <w:tcPr>
            <w:tcW w:w="793" w:type="dxa"/>
          </w:tcPr>
          <w:p>
            <w:pPr>
              <w:pStyle w:val="0"/>
              <w:jc w:val="center"/>
            </w:pPr>
            <w:r>
              <w:rPr>
                <w:sz w:val="24"/>
              </w:rPr>
              <w:t xml:space="preserve">Диагностические изотопные ПЭТ исследования</w:t>
            </w:r>
          </w:p>
        </w:tc>
        <w:tc>
          <w:tcPr>
            <w:tcW w:w="680" w:type="dxa"/>
          </w:tcPr>
          <w:p>
            <w:pPr>
              <w:pStyle w:val="0"/>
              <w:jc w:val="center"/>
            </w:pPr>
            <w:r>
              <w:rPr>
                <w:sz w:val="24"/>
              </w:rPr>
              <w:t xml:space="preserve">Тестирование на COVID-19</w:t>
            </w:r>
          </w:p>
        </w:tc>
        <w:tc>
          <w:tcPr>
            <w:tcW w:w="680" w:type="dxa"/>
          </w:tcPr>
          <w:p>
            <w:pPr>
              <w:pStyle w:val="0"/>
              <w:jc w:val="center"/>
            </w:pPr>
            <w:r>
              <w:rPr>
                <w:sz w:val="24"/>
              </w:rPr>
              <w:t xml:space="preserve">Скрининг онко-гинекологических заболеваний до 35 лет</w:t>
            </w:r>
          </w:p>
        </w:tc>
        <w:tc>
          <w:tcPr>
            <w:tcW w:w="680" w:type="dxa"/>
          </w:tcPr>
          <w:p>
            <w:pPr>
              <w:pStyle w:val="0"/>
              <w:jc w:val="center"/>
            </w:pPr>
            <w:r>
              <w:rPr>
                <w:sz w:val="24"/>
              </w:rPr>
              <w:t xml:space="preserve">Скрининг онко-гинекологических заболеваний с 35 лет</w:t>
            </w:r>
          </w:p>
        </w:tc>
        <w:tc>
          <w:tcPr>
            <w:tcW w:w="1133" w:type="dxa"/>
          </w:tcPr>
          <w:p>
            <w:pPr>
              <w:pStyle w:val="0"/>
              <w:jc w:val="center"/>
            </w:pPr>
            <w:r>
              <w:rPr>
                <w:sz w:val="24"/>
              </w:rPr>
              <w:t xml:space="preserve">Объем финансового обеспечения медицинской помощи (руб.)</w:t>
            </w:r>
          </w:p>
        </w:tc>
      </w:tr>
      <w:tr>
        <w:tc>
          <w:tcPr>
            <w:tcW w:w="793" w:type="dxa"/>
            <w:vMerge w:val="restart"/>
          </w:tcPr>
          <w:p>
            <w:pPr>
              <w:pStyle w:val="0"/>
            </w:pPr>
            <w:r>
              <w:rPr>
                <w:sz w:val="24"/>
              </w:rPr>
            </w:r>
          </w:p>
        </w:tc>
        <w:tc>
          <w:tcPr>
            <w:tcW w:w="566" w:type="dxa"/>
          </w:tcPr>
          <w:p>
            <w:pPr>
              <w:pStyle w:val="0"/>
            </w:pPr>
            <w:r>
              <w:rPr>
                <w:sz w:val="24"/>
              </w:rPr>
            </w:r>
          </w:p>
        </w:tc>
        <w:tc>
          <w:tcPr>
            <w:tcW w:w="850" w:type="dxa"/>
            <w:vAlign w:val="center"/>
          </w:tcPr>
          <w:p>
            <w:pPr>
              <w:pStyle w:val="0"/>
              <w:jc w:val="center"/>
            </w:pPr>
            <w:r>
              <w:rPr>
                <w:sz w:val="24"/>
              </w:rPr>
              <w:t xml:space="preserve">Всего</w:t>
            </w:r>
          </w:p>
        </w:tc>
        <w:tc>
          <w:tcPr>
            <w:tcW w:w="1020" w:type="dxa"/>
          </w:tcPr>
          <w:p>
            <w:pPr>
              <w:pStyle w:val="0"/>
            </w:pPr>
            <w:r>
              <w:rPr>
                <w:sz w:val="24"/>
              </w:rPr>
            </w:r>
          </w:p>
        </w:tc>
        <w:tc>
          <w:tcPr>
            <w:tcW w:w="1020" w:type="dxa"/>
          </w:tcPr>
          <w:p>
            <w:pPr>
              <w:pStyle w:val="0"/>
            </w:pPr>
            <w:r>
              <w:rPr>
                <w:sz w:val="24"/>
              </w:rPr>
            </w:r>
          </w:p>
        </w:tc>
        <w:tc>
          <w:tcPr>
            <w:tcW w:w="793" w:type="dxa"/>
          </w:tcPr>
          <w:p>
            <w:pPr>
              <w:pStyle w:val="0"/>
            </w:pPr>
            <w:r>
              <w:rPr>
                <w:sz w:val="24"/>
              </w:rPr>
            </w:r>
          </w:p>
        </w:tc>
        <w:tc>
          <w:tcPr>
            <w:tcW w:w="680" w:type="dxa"/>
          </w:tcPr>
          <w:p>
            <w:pPr>
              <w:pStyle w:val="0"/>
            </w:pPr>
            <w:r>
              <w:rPr>
                <w:sz w:val="24"/>
              </w:rPr>
            </w:r>
          </w:p>
        </w:tc>
        <w:tc>
          <w:tcPr>
            <w:tcW w:w="1020" w:type="dxa"/>
          </w:tcPr>
          <w:p>
            <w:pPr>
              <w:pStyle w:val="0"/>
            </w:pPr>
            <w:r>
              <w:rPr>
                <w:sz w:val="24"/>
              </w:rPr>
            </w:r>
          </w:p>
        </w:tc>
        <w:tc>
          <w:tcPr>
            <w:tcW w:w="793" w:type="dxa"/>
          </w:tcPr>
          <w:p>
            <w:pPr>
              <w:pStyle w:val="0"/>
            </w:pPr>
            <w:r>
              <w:rPr>
                <w:sz w:val="24"/>
              </w:rPr>
            </w:r>
          </w:p>
        </w:tc>
        <w:tc>
          <w:tcPr>
            <w:tcW w:w="1303" w:type="dxa"/>
          </w:tcPr>
          <w:p>
            <w:pPr>
              <w:pStyle w:val="0"/>
            </w:pPr>
            <w:r>
              <w:rPr>
                <w:sz w:val="24"/>
              </w:rPr>
            </w:r>
          </w:p>
        </w:tc>
        <w:tc>
          <w:tcPr>
            <w:tcW w:w="793" w:type="dxa"/>
          </w:tcPr>
          <w:p>
            <w:pPr>
              <w:pStyle w:val="0"/>
            </w:pPr>
            <w:r>
              <w:rPr>
                <w:sz w:val="24"/>
              </w:rPr>
            </w:r>
          </w:p>
        </w:tc>
        <w:tc>
          <w:tcPr>
            <w:tcW w:w="793" w:type="dxa"/>
          </w:tcPr>
          <w:p>
            <w:pPr>
              <w:pStyle w:val="0"/>
            </w:pPr>
            <w:r>
              <w:rPr>
                <w:sz w:val="24"/>
              </w:rPr>
            </w:r>
          </w:p>
        </w:tc>
        <w:tc>
          <w:tcPr>
            <w:tcW w:w="680" w:type="dxa"/>
          </w:tcPr>
          <w:p>
            <w:pPr>
              <w:pStyle w:val="0"/>
            </w:pPr>
            <w:r>
              <w:rPr>
                <w:sz w:val="24"/>
              </w:rPr>
            </w:r>
          </w:p>
        </w:tc>
        <w:tc>
          <w:tcPr>
            <w:tcW w:w="680" w:type="dxa"/>
          </w:tcPr>
          <w:p>
            <w:pPr>
              <w:pStyle w:val="0"/>
            </w:pPr>
            <w:r>
              <w:rPr>
                <w:sz w:val="24"/>
              </w:rPr>
            </w:r>
          </w:p>
        </w:tc>
        <w:tc>
          <w:tcPr>
            <w:tcW w:w="680" w:type="dxa"/>
          </w:tcPr>
          <w:p>
            <w:pPr>
              <w:pStyle w:val="0"/>
            </w:pPr>
            <w:r>
              <w:rPr>
                <w:sz w:val="24"/>
              </w:rPr>
            </w:r>
          </w:p>
        </w:tc>
        <w:tc>
          <w:tcPr>
            <w:tcW w:w="1133" w:type="dxa"/>
          </w:tcPr>
          <w:p>
            <w:pPr>
              <w:pStyle w:val="0"/>
            </w:pPr>
            <w:r>
              <w:rPr>
                <w:sz w:val="24"/>
              </w:rPr>
            </w:r>
          </w:p>
        </w:tc>
      </w:tr>
      <w:tr>
        <w:tc>
          <w:tcPr>
            <w:vMerge w:val="continue"/>
          </w:tcPr>
          <w:p/>
        </w:tc>
        <w:tc>
          <w:tcPr>
            <w:tcW w:w="566" w:type="dxa"/>
          </w:tcPr>
          <w:p>
            <w:pPr>
              <w:pStyle w:val="0"/>
            </w:pPr>
            <w:r>
              <w:rPr>
                <w:sz w:val="24"/>
              </w:rPr>
            </w:r>
          </w:p>
        </w:tc>
        <w:tc>
          <w:tcPr>
            <w:tcW w:w="850" w:type="dxa"/>
            <w:vAlign w:val="center"/>
          </w:tcPr>
          <w:p>
            <w:pPr>
              <w:pStyle w:val="0"/>
              <w:jc w:val="center"/>
            </w:pPr>
            <w:r>
              <w:rPr>
                <w:sz w:val="24"/>
              </w:rPr>
              <w:t xml:space="preserve">Взрослые</w:t>
            </w:r>
          </w:p>
        </w:tc>
        <w:tc>
          <w:tcPr>
            <w:tcW w:w="1020" w:type="dxa"/>
          </w:tcPr>
          <w:p>
            <w:pPr>
              <w:pStyle w:val="0"/>
            </w:pPr>
            <w:r>
              <w:rPr>
                <w:sz w:val="24"/>
              </w:rPr>
            </w:r>
          </w:p>
        </w:tc>
        <w:tc>
          <w:tcPr>
            <w:tcW w:w="1020" w:type="dxa"/>
          </w:tcPr>
          <w:p>
            <w:pPr>
              <w:pStyle w:val="0"/>
            </w:pPr>
            <w:r>
              <w:rPr>
                <w:sz w:val="24"/>
              </w:rPr>
            </w:r>
          </w:p>
        </w:tc>
        <w:tc>
          <w:tcPr>
            <w:tcW w:w="793" w:type="dxa"/>
          </w:tcPr>
          <w:p>
            <w:pPr>
              <w:pStyle w:val="0"/>
            </w:pPr>
            <w:r>
              <w:rPr>
                <w:sz w:val="24"/>
              </w:rPr>
            </w:r>
          </w:p>
        </w:tc>
        <w:tc>
          <w:tcPr>
            <w:tcW w:w="680" w:type="dxa"/>
          </w:tcPr>
          <w:p>
            <w:pPr>
              <w:pStyle w:val="0"/>
            </w:pPr>
            <w:r>
              <w:rPr>
                <w:sz w:val="24"/>
              </w:rPr>
            </w:r>
          </w:p>
        </w:tc>
        <w:tc>
          <w:tcPr>
            <w:tcW w:w="1020" w:type="dxa"/>
          </w:tcPr>
          <w:p>
            <w:pPr>
              <w:pStyle w:val="0"/>
            </w:pPr>
            <w:r>
              <w:rPr>
                <w:sz w:val="24"/>
              </w:rPr>
            </w:r>
          </w:p>
        </w:tc>
        <w:tc>
          <w:tcPr>
            <w:tcW w:w="793" w:type="dxa"/>
          </w:tcPr>
          <w:p>
            <w:pPr>
              <w:pStyle w:val="0"/>
            </w:pPr>
            <w:r>
              <w:rPr>
                <w:sz w:val="24"/>
              </w:rPr>
            </w:r>
          </w:p>
        </w:tc>
        <w:tc>
          <w:tcPr>
            <w:tcW w:w="1303" w:type="dxa"/>
          </w:tcPr>
          <w:p>
            <w:pPr>
              <w:pStyle w:val="0"/>
            </w:pPr>
            <w:r>
              <w:rPr>
                <w:sz w:val="24"/>
              </w:rPr>
            </w:r>
          </w:p>
        </w:tc>
        <w:tc>
          <w:tcPr>
            <w:tcW w:w="793" w:type="dxa"/>
          </w:tcPr>
          <w:p>
            <w:pPr>
              <w:pStyle w:val="0"/>
            </w:pPr>
            <w:r>
              <w:rPr>
                <w:sz w:val="24"/>
              </w:rPr>
            </w:r>
          </w:p>
        </w:tc>
        <w:tc>
          <w:tcPr>
            <w:tcW w:w="793" w:type="dxa"/>
          </w:tcPr>
          <w:p>
            <w:pPr>
              <w:pStyle w:val="0"/>
            </w:pPr>
            <w:r>
              <w:rPr>
                <w:sz w:val="24"/>
              </w:rPr>
            </w:r>
          </w:p>
        </w:tc>
        <w:tc>
          <w:tcPr>
            <w:tcW w:w="680" w:type="dxa"/>
          </w:tcPr>
          <w:p>
            <w:pPr>
              <w:pStyle w:val="0"/>
            </w:pPr>
            <w:r>
              <w:rPr>
                <w:sz w:val="24"/>
              </w:rPr>
            </w:r>
          </w:p>
        </w:tc>
        <w:tc>
          <w:tcPr>
            <w:tcW w:w="680" w:type="dxa"/>
          </w:tcPr>
          <w:p>
            <w:pPr>
              <w:pStyle w:val="0"/>
            </w:pPr>
            <w:r>
              <w:rPr>
                <w:sz w:val="24"/>
              </w:rPr>
            </w:r>
          </w:p>
        </w:tc>
        <w:tc>
          <w:tcPr>
            <w:tcW w:w="680" w:type="dxa"/>
          </w:tcPr>
          <w:p>
            <w:pPr>
              <w:pStyle w:val="0"/>
            </w:pPr>
            <w:r>
              <w:rPr>
                <w:sz w:val="24"/>
              </w:rPr>
            </w:r>
          </w:p>
        </w:tc>
        <w:tc>
          <w:tcPr>
            <w:tcW w:w="1133" w:type="dxa"/>
          </w:tcPr>
          <w:p>
            <w:pPr>
              <w:pStyle w:val="0"/>
            </w:pPr>
            <w:r>
              <w:rPr>
                <w:sz w:val="24"/>
              </w:rPr>
            </w:r>
          </w:p>
        </w:tc>
      </w:tr>
      <w:tr>
        <w:tc>
          <w:tcPr>
            <w:vMerge w:val="continue"/>
          </w:tcPr>
          <w:p/>
        </w:tc>
        <w:tc>
          <w:tcPr>
            <w:tcW w:w="566" w:type="dxa"/>
          </w:tcPr>
          <w:p>
            <w:pPr>
              <w:pStyle w:val="0"/>
            </w:pPr>
            <w:r>
              <w:rPr>
                <w:sz w:val="24"/>
              </w:rPr>
            </w:r>
          </w:p>
        </w:tc>
        <w:tc>
          <w:tcPr>
            <w:tcW w:w="850" w:type="dxa"/>
            <w:vAlign w:val="center"/>
          </w:tcPr>
          <w:p>
            <w:pPr>
              <w:pStyle w:val="0"/>
              <w:jc w:val="center"/>
            </w:pPr>
            <w:r>
              <w:rPr>
                <w:sz w:val="24"/>
              </w:rPr>
              <w:t xml:space="preserve">Дети</w:t>
            </w:r>
          </w:p>
        </w:tc>
        <w:tc>
          <w:tcPr>
            <w:tcW w:w="1020" w:type="dxa"/>
          </w:tcPr>
          <w:p>
            <w:pPr>
              <w:pStyle w:val="0"/>
            </w:pPr>
            <w:r>
              <w:rPr>
                <w:sz w:val="24"/>
              </w:rPr>
            </w:r>
          </w:p>
        </w:tc>
        <w:tc>
          <w:tcPr>
            <w:tcW w:w="1020" w:type="dxa"/>
          </w:tcPr>
          <w:p>
            <w:pPr>
              <w:pStyle w:val="0"/>
            </w:pPr>
            <w:r>
              <w:rPr>
                <w:sz w:val="24"/>
              </w:rPr>
            </w:r>
          </w:p>
        </w:tc>
        <w:tc>
          <w:tcPr>
            <w:tcW w:w="793" w:type="dxa"/>
          </w:tcPr>
          <w:p>
            <w:pPr>
              <w:pStyle w:val="0"/>
            </w:pPr>
            <w:r>
              <w:rPr>
                <w:sz w:val="24"/>
              </w:rPr>
            </w:r>
          </w:p>
        </w:tc>
        <w:tc>
          <w:tcPr>
            <w:tcW w:w="680" w:type="dxa"/>
          </w:tcPr>
          <w:p>
            <w:pPr>
              <w:pStyle w:val="0"/>
            </w:pPr>
            <w:r>
              <w:rPr>
                <w:sz w:val="24"/>
              </w:rPr>
            </w:r>
          </w:p>
        </w:tc>
        <w:tc>
          <w:tcPr>
            <w:tcW w:w="1020" w:type="dxa"/>
          </w:tcPr>
          <w:p>
            <w:pPr>
              <w:pStyle w:val="0"/>
            </w:pPr>
            <w:r>
              <w:rPr>
                <w:sz w:val="24"/>
              </w:rPr>
            </w:r>
          </w:p>
        </w:tc>
        <w:tc>
          <w:tcPr>
            <w:tcW w:w="793" w:type="dxa"/>
          </w:tcPr>
          <w:p>
            <w:pPr>
              <w:pStyle w:val="0"/>
            </w:pPr>
            <w:r>
              <w:rPr>
                <w:sz w:val="24"/>
              </w:rPr>
            </w:r>
          </w:p>
        </w:tc>
        <w:tc>
          <w:tcPr>
            <w:tcW w:w="1303" w:type="dxa"/>
          </w:tcPr>
          <w:p>
            <w:pPr>
              <w:pStyle w:val="0"/>
            </w:pPr>
            <w:r>
              <w:rPr>
                <w:sz w:val="24"/>
              </w:rPr>
            </w:r>
          </w:p>
        </w:tc>
        <w:tc>
          <w:tcPr>
            <w:tcW w:w="793" w:type="dxa"/>
          </w:tcPr>
          <w:p>
            <w:pPr>
              <w:pStyle w:val="0"/>
            </w:pPr>
            <w:r>
              <w:rPr>
                <w:sz w:val="24"/>
              </w:rPr>
            </w:r>
          </w:p>
        </w:tc>
        <w:tc>
          <w:tcPr>
            <w:tcW w:w="793" w:type="dxa"/>
          </w:tcPr>
          <w:p>
            <w:pPr>
              <w:pStyle w:val="0"/>
            </w:pPr>
            <w:r>
              <w:rPr>
                <w:sz w:val="24"/>
              </w:rPr>
            </w:r>
          </w:p>
        </w:tc>
        <w:tc>
          <w:tcPr>
            <w:tcW w:w="680" w:type="dxa"/>
          </w:tcPr>
          <w:p>
            <w:pPr>
              <w:pStyle w:val="0"/>
            </w:pPr>
            <w:r>
              <w:rPr>
                <w:sz w:val="24"/>
              </w:rPr>
            </w:r>
          </w:p>
        </w:tc>
        <w:tc>
          <w:tcPr>
            <w:tcW w:w="680" w:type="dxa"/>
          </w:tcPr>
          <w:p>
            <w:pPr>
              <w:pStyle w:val="0"/>
            </w:pPr>
            <w:r>
              <w:rPr>
                <w:sz w:val="24"/>
              </w:rPr>
            </w:r>
          </w:p>
        </w:tc>
        <w:tc>
          <w:tcPr>
            <w:tcW w:w="680" w:type="dxa"/>
          </w:tcPr>
          <w:p>
            <w:pPr>
              <w:pStyle w:val="0"/>
            </w:pPr>
            <w:r>
              <w:rPr>
                <w:sz w:val="24"/>
              </w:rPr>
            </w:r>
          </w:p>
        </w:tc>
        <w:tc>
          <w:tcPr>
            <w:tcW w:w="1133" w:type="dxa"/>
          </w:tcPr>
          <w:p>
            <w:pPr>
              <w:pStyle w:val="0"/>
            </w:pPr>
            <w:r>
              <w:rPr>
                <w:sz w:val="24"/>
              </w:rPr>
            </w:r>
          </w:p>
        </w:tc>
      </w:tr>
      <w:tr>
        <w:tc>
          <w:tcPr>
            <w:tcW w:w="793" w:type="dxa"/>
            <w:vMerge w:val="restart"/>
          </w:tcPr>
          <w:p>
            <w:pPr>
              <w:pStyle w:val="0"/>
            </w:pPr>
            <w:r>
              <w:rPr>
                <w:sz w:val="24"/>
              </w:rPr>
            </w:r>
          </w:p>
        </w:tc>
        <w:tc>
          <w:tcPr>
            <w:tcW w:w="566" w:type="dxa"/>
          </w:tcPr>
          <w:p>
            <w:pPr>
              <w:pStyle w:val="0"/>
            </w:pPr>
            <w:r>
              <w:rPr>
                <w:sz w:val="24"/>
              </w:rPr>
            </w:r>
          </w:p>
        </w:tc>
        <w:tc>
          <w:tcPr>
            <w:tcW w:w="850" w:type="dxa"/>
            <w:vAlign w:val="center"/>
          </w:tcPr>
          <w:p>
            <w:pPr>
              <w:pStyle w:val="0"/>
              <w:jc w:val="center"/>
            </w:pPr>
            <w:r>
              <w:rPr>
                <w:sz w:val="24"/>
              </w:rPr>
              <w:t xml:space="preserve">Всего</w:t>
            </w:r>
          </w:p>
        </w:tc>
        <w:tc>
          <w:tcPr>
            <w:tcW w:w="1020" w:type="dxa"/>
          </w:tcPr>
          <w:p>
            <w:pPr>
              <w:pStyle w:val="0"/>
            </w:pPr>
            <w:r>
              <w:rPr>
                <w:sz w:val="24"/>
              </w:rPr>
            </w:r>
          </w:p>
        </w:tc>
        <w:tc>
          <w:tcPr>
            <w:tcW w:w="1020" w:type="dxa"/>
          </w:tcPr>
          <w:p>
            <w:pPr>
              <w:pStyle w:val="0"/>
            </w:pPr>
            <w:r>
              <w:rPr>
                <w:sz w:val="24"/>
              </w:rPr>
            </w:r>
          </w:p>
        </w:tc>
        <w:tc>
          <w:tcPr>
            <w:tcW w:w="793" w:type="dxa"/>
          </w:tcPr>
          <w:p>
            <w:pPr>
              <w:pStyle w:val="0"/>
            </w:pPr>
            <w:r>
              <w:rPr>
                <w:sz w:val="24"/>
              </w:rPr>
            </w:r>
          </w:p>
        </w:tc>
        <w:tc>
          <w:tcPr>
            <w:tcW w:w="680" w:type="dxa"/>
          </w:tcPr>
          <w:p>
            <w:pPr>
              <w:pStyle w:val="0"/>
            </w:pPr>
            <w:r>
              <w:rPr>
                <w:sz w:val="24"/>
              </w:rPr>
            </w:r>
          </w:p>
        </w:tc>
        <w:tc>
          <w:tcPr>
            <w:tcW w:w="1020" w:type="dxa"/>
          </w:tcPr>
          <w:p>
            <w:pPr>
              <w:pStyle w:val="0"/>
            </w:pPr>
            <w:r>
              <w:rPr>
                <w:sz w:val="24"/>
              </w:rPr>
            </w:r>
          </w:p>
        </w:tc>
        <w:tc>
          <w:tcPr>
            <w:tcW w:w="793" w:type="dxa"/>
          </w:tcPr>
          <w:p>
            <w:pPr>
              <w:pStyle w:val="0"/>
            </w:pPr>
            <w:r>
              <w:rPr>
                <w:sz w:val="24"/>
              </w:rPr>
            </w:r>
          </w:p>
        </w:tc>
        <w:tc>
          <w:tcPr>
            <w:tcW w:w="1303" w:type="dxa"/>
          </w:tcPr>
          <w:p>
            <w:pPr>
              <w:pStyle w:val="0"/>
            </w:pPr>
            <w:r>
              <w:rPr>
                <w:sz w:val="24"/>
              </w:rPr>
            </w:r>
          </w:p>
        </w:tc>
        <w:tc>
          <w:tcPr>
            <w:tcW w:w="793" w:type="dxa"/>
          </w:tcPr>
          <w:p>
            <w:pPr>
              <w:pStyle w:val="0"/>
            </w:pPr>
            <w:r>
              <w:rPr>
                <w:sz w:val="24"/>
              </w:rPr>
            </w:r>
          </w:p>
        </w:tc>
        <w:tc>
          <w:tcPr>
            <w:tcW w:w="793" w:type="dxa"/>
          </w:tcPr>
          <w:p>
            <w:pPr>
              <w:pStyle w:val="0"/>
            </w:pPr>
            <w:r>
              <w:rPr>
                <w:sz w:val="24"/>
              </w:rPr>
            </w:r>
          </w:p>
        </w:tc>
        <w:tc>
          <w:tcPr>
            <w:tcW w:w="680" w:type="dxa"/>
          </w:tcPr>
          <w:p>
            <w:pPr>
              <w:pStyle w:val="0"/>
            </w:pPr>
            <w:r>
              <w:rPr>
                <w:sz w:val="24"/>
              </w:rPr>
            </w:r>
          </w:p>
        </w:tc>
        <w:tc>
          <w:tcPr>
            <w:tcW w:w="680" w:type="dxa"/>
          </w:tcPr>
          <w:p>
            <w:pPr>
              <w:pStyle w:val="0"/>
            </w:pPr>
            <w:r>
              <w:rPr>
                <w:sz w:val="24"/>
              </w:rPr>
            </w:r>
          </w:p>
        </w:tc>
        <w:tc>
          <w:tcPr>
            <w:tcW w:w="680" w:type="dxa"/>
          </w:tcPr>
          <w:p>
            <w:pPr>
              <w:pStyle w:val="0"/>
            </w:pPr>
            <w:r>
              <w:rPr>
                <w:sz w:val="24"/>
              </w:rPr>
            </w:r>
          </w:p>
        </w:tc>
        <w:tc>
          <w:tcPr>
            <w:tcW w:w="1133" w:type="dxa"/>
          </w:tcPr>
          <w:p>
            <w:pPr>
              <w:pStyle w:val="0"/>
            </w:pPr>
            <w:r>
              <w:rPr>
                <w:sz w:val="24"/>
              </w:rPr>
            </w:r>
          </w:p>
        </w:tc>
      </w:tr>
      <w:tr>
        <w:tc>
          <w:tcPr>
            <w:vMerge w:val="continue"/>
          </w:tcPr>
          <w:p/>
        </w:tc>
        <w:tc>
          <w:tcPr>
            <w:tcW w:w="566" w:type="dxa"/>
          </w:tcPr>
          <w:p>
            <w:pPr>
              <w:pStyle w:val="0"/>
            </w:pPr>
            <w:r>
              <w:rPr>
                <w:sz w:val="24"/>
              </w:rPr>
            </w:r>
          </w:p>
        </w:tc>
        <w:tc>
          <w:tcPr>
            <w:tcW w:w="850" w:type="dxa"/>
            <w:vAlign w:val="center"/>
          </w:tcPr>
          <w:p>
            <w:pPr>
              <w:pStyle w:val="0"/>
              <w:jc w:val="center"/>
            </w:pPr>
            <w:r>
              <w:rPr>
                <w:sz w:val="24"/>
              </w:rPr>
              <w:t xml:space="preserve">Взрослые</w:t>
            </w:r>
          </w:p>
        </w:tc>
        <w:tc>
          <w:tcPr>
            <w:tcW w:w="1020" w:type="dxa"/>
          </w:tcPr>
          <w:p>
            <w:pPr>
              <w:pStyle w:val="0"/>
            </w:pPr>
            <w:r>
              <w:rPr>
                <w:sz w:val="24"/>
              </w:rPr>
            </w:r>
          </w:p>
        </w:tc>
        <w:tc>
          <w:tcPr>
            <w:tcW w:w="1020" w:type="dxa"/>
          </w:tcPr>
          <w:p>
            <w:pPr>
              <w:pStyle w:val="0"/>
            </w:pPr>
            <w:r>
              <w:rPr>
                <w:sz w:val="24"/>
              </w:rPr>
            </w:r>
          </w:p>
        </w:tc>
        <w:tc>
          <w:tcPr>
            <w:tcW w:w="793" w:type="dxa"/>
          </w:tcPr>
          <w:p>
            <w:pPr>
              <w:pStyle w:val="0"/>
            </w:pPr>
            <w:r>
              <w:rPr>
                <w:sz w:val="24"/>
              </w:rPr>
            </w:r>
          </w:p>
        </w:tc>
        <w:tc>
          <w:tcPr>
            <w:tcW w:w="680" w:type="dxa"/>
          </w:tcPr>
          <w:p>
            <w:pPr>
              <w:pStyle w:val="0"/>
            </w:pPr>
            <w:r>
              <w:rPr>
                <w:sz w:val="24"/>
              </w:rPr>
            </w:r>
          </w:p>
        </w:tc>
        <w:tc>
          <w:tcPr>
            <w:tcW w:w="1020" w:type="dxa"/>
          </w:tcPr>
          <w:p>
            <w:pPr>
              <w:pStyle w:val="0"/>
            </w:pPr>
            <w:r>
              <w:rPr>
                <w:sz w:val="24"/>
              </w:rPr>
            </w:r>
          </w:p>
        </w:tc>
        <w:tc>
          <w:tcPr>
            <w:tcW w:w="793" w:type="dxa"/>
          </w:tcPr>
          <w:p>
            <w:pPr>
              <w:pStyle w:val="0"/>
            </w:pPr>
            <w:r>
              <w:rPr>
                <w:sz w:val="24"/>
              </w:rPr>
            </w:r>
          </w:p>
        </w:tc>
        <w:tc>
          <w:tcPr>
            <w:tcW w:w="1303" w:type="dxa"/>
          </w:tcPr>
          <w:p>
            <w:pPr>
              <w:pStyle w:val="0"/>
            </w:pPr>
            <w:r>
              <w:rPr>
                <w:sz w:val="24"/>
              </w:rPr>
            </w:r>
          </w:p>
        </w:tc>
        <w:tc>
          <w:tcPr>
            <w:tcW w:w="793" w:type="dxa"/>
          </w:tcPr>
          <w:p>
            <w:pPr>
              <w:pStyle w:val="0"/>
            </w:pPr>
            <w:r>
              <w:rPr>
                <w:sz w:val="24"/>
              </w:rPr>
            </w:r>
          </w:p>
        </w:tc>
        <w:tc>
          <w:tcPr>
            <w:tcW w:w="793" w:type="dxa"/>
          </w:tcPr>
          <w:p>
            <w:pPr>
              <w:pStyle w:val="0"/>
            </w:pPr>
            <w:r>
              <w:rPr>
                <w:sz w:val="24"/>
              </w:rPr>
            </w:r>
          </w:p>
        </w:tc>
        <w:tc>
          <w:tcPr>
            <w:tcW w:w="680" w:type="dxa"/>
          </w:tcPr>
          <w:p>
            <w:pPr>
              <w:pStyle w:val="0"/>
            </w:pPr>
            <w:r>
              <w:rPr>
                <w:sz w:val="24"/>
              </w:rPr>
            </w:r>
          </w:p>
        </w:tc>
        <w:tc>
          <w:tcPr>
            <w:tcW w:w="680" w:type="dxa"/>
          </w:tcPr>
          <w:p>
            <w:pPr>
              <w:pStyle w:val="0"/>
            </w:pPr>
            <w:r>
              <w:rPr>
                <w:sz w:val="24"/>
              </w:rPr>
            </w:r>
          </w:p>
        </w:tc>
        <w:tc>
          <w:tcPr>
            <w:tcW w:w="680" w:type="dxa"/>
          </w:tcPr>
          <w:p>
            <w:pPr>
              <w:pStyle w:val="0"/>
            </w:pPr>
            <w:r>
              <w:rPr>
                <w:sz w:val="24"/>
              </w:rPr>
            </w:r>
          </w:p>
        </w:tc>
        <w:tc>
          <w:tcPr>
            <w:tcW w:w="1133" w:type="dxa"/>
          </w:tcPr>
          <w:p>
            <w:pPr>
              <w:pStyle w:val="0"/>
            </w:pPr>
            <w:r>
              <w:rPr>
                <w:sz w:val="24"/>
              </w:rPr>
            </w:r>
          </w:p>
        </w:tc>
      </w:tr>
      <w:tr>
        <w:tc>
          <w:tcPr>
            <w:vMerge w:val="continue"/>
          </w:tcPr>
          <w:p/>
        </w:tc>
        <w:tc>
          <w:tcPr>
            <w:tcW w:w="566" w:type="dxa"/>
          </w:tcPr>
          <w:p>
            <w:pPr>
              <w:pStyle w:val="0"/>
            </w:pPr>
            <w:r>
              <w:rPr>
                <w:sz w:val="24"/>
              </w:rPr>
            </w:r>
          </w:p>
        </w:tc>
        <w:tc>
          <w:tcPr>
            <w:tcW w:w="850" w:type="dxa"/>
            <w:vAlign w:val="center"/>
          </w:tcPr>
          <w:p>
            <w:pPr>
              <w:pStyle w:val="0"/>
              <w:jc w:val="center"/>
            </w:pPr>
            <w:r>
              <w:rPr>
                <w:sz w:val="24"/>
              </w:rPr>
              <w:t xml:space="preserve">Дети</w:t>
            </w:r>
          </w:p>
        </w:tc>
        <w:tc>
          <w:tcPr>
            <w:tcW w:w="1020" w:type="dxa"/>
          </w:tcPr>
          <w:p>
            <w:pPr>
              <w:pStyle w:val="0"/>
            </w:pPr>
            <w:r>
              <w:rPr>
                <w:sz w:val="24"/>
              </w:rPr>
            </w:r>
          </w:p>
        </w:tc>
        <w:tc>
          <w:tcPr>
            <w:tcW w:w="1020" w:type="dxa"/>
          </w:tcPr>
          <w:p>
            <w:pPr>
              <w:pStyle w:val="0"/>
            </w:pPr>
            <w:r>
              <w:rPr>
                <w:sz w:val="24"/>
              </w:rPr>
            </w:r>
          </w:p>
        </w:tc>
        <w:tc>
          <w:tcPr>
            <w:tcW w:w="793" w:type="dxa"/>
          </w:tcPr>
          <w:p>
            <w:pPr>
              <w:pStyle w:val="0"/>
            </w:pPr>
            <w:r>
              <w:rPr>
                <w:sz w:val="24"/>
              </w:rPr>
            </w:r>
          </w:p>
        </w:tc>
        <w:tc>
          <w:tcPr>
            <w:tcW w:w="680" w:type="dxa"/>
          </w:tcPr>
          <w:p>
            <w:pPr>
              <w:pStyle w:val="0"/>
            </w:pPr>
            <w:r>
              <w:rPr>
                <w:sz w:val="24"/>
              </w:rPr>
            </w:r>
          </w:p>
        </w:tc>
        <w:tc>
          <w:tcPr>
            <w:tcW w:w="1020" w:type="dxa"/>
          </w:tcPr>
          <w:p>
            <w:pPr>
              <w:pStyle w:val="0"/>
            </w:pPr>
            <w:r>
              <w:rPr>
                <w:sz w:val="24"/>
              </w:rPr>
            </w:r>
          </w:p>
        </w:tc>
        <w:tc>
          <w:tcPr>
            <w:tcW w:w="793" w:type="dxa"/>
          </w:tcPr>
          <w:p>
            <w:pPr>
              <w:pStyle w:val="0"/>
            </w:pPr>
            <w:r>
              <w:rPr>
                <w:sz w:val="24"/>
              </w:rPr>
            </w:r>
          </w:p>
        </w:tc>
        <w:tc>
          <w:tcPr>
            <w:tcW w:w="1303" w:type="dxa"/>
          </w:tcPr>
          <w:p>
            <w:pPr>
              <w:pStyle w:val="0"/>
            </w:pPr>
            <w:r>
              <w:rPr>
                <w:sz w:val="24"/>
              </w:rPr>
            </w:r>
          </w:p>
        </w:tc>
        <w:tc>
          <w:tcPr>
            <w:tcW w:w="793" w:type="dxa"/>
          </w:tcPr>
          <w:p>
            <w:pPr>
              <w:pStyle w:val="0"/>
            </w:pPr>
            <w:r>
              <w:rPr>
                <w:sz w:val="24"/>
              </w:rPr>
            </w:r>
          </w:p>
        </w:tc>
        <w:tc>
          <w:tcPr>
            <w:tcW w:w="793" w:type="dxa"/>
          </w:tcPr>
          <w:p>
            <w:pPr>
              <w:pStyle w:val="0"/>
            </w:pPr>
            <w:r>
              <w:rPr>
                <w:sz w:val="24"/>
              </w:rPr>
            </w:r>
          </w:p>
        </w:tc>
        <w:tc>
          <w:tcPr>
            <w:tcW w:w="680" w:type="dxa"/>
          </w:tcPr>
          <w:p>
            <w:pPr>
              <w:pStyle w:val="0"/>
            </w:pPr>
            <w:r>
              <w:rPr>
                <w:sz w:val="24"/>
              </w:rPr>
            </w:r>
          </w:p>
        </w:tc>
        <w:tc>
          <w:tcPr>
            <w:tcW w:w="680" w:type="dxa"/>
          </w:tcPr>
          <w:p>
            <w:pPr>
              <w:pStyle w:val="0"/>
            </w:pPr>
            <w:r>
              <w:rPr>
                <w:sz w:val="24"/>
              </w:rPr>
            </w:r>
          </w:p>
        </w:tc>
        <w:tc>
          <w:tcPr>
            <w:tcW w:w="680" w:type="dxa"/>
          </w:tcPr>
          <w:p>
            <w:pPr>
              <w:pStyle w:val="0"/>
            </w:pPr>
            <w:r>
              <w:rPr>
                <w:sz w:val="24"/>
              </w:rPr>
            </w:r>
          </w:p>
        </w:tc>
        <w:tc>
          <w:tcPr>
            <w:tcW w:w="1133" w:type="dxa"/>
          </w:tcPr>
          <w:p>
            <w:pPr>
              <w:pStyle w:val="0"/>
            </w:pPr>
            <w:r>
              <w:rPr>
                <w:sz w:val="24"/>
              </w:rPr>
            </w:r>
          </w:p>
        </w:tc>
      </w:tr>
      <w:tr>
        <w:tc>
          <w:tcPr>
            <w:tcW w:w="793" w:type="dxa"/>
            <w:vMerge w:val="restart"/>
          </w:tcPr>
          <w:p>
            <w:pPr>
              <w:pStyle w:val="0"/>
            </w:pPr>
            <w:r>
              <w:rPr>
                <w:sz w:val="24"/>
              </w:rPr>
            </w:r>
          </w:p>
        </w:tc>
        <w:tc>
          <w:tcPr>
            <w:tcW w:w="566" w:type="dxa"/>
          </w:tcPr>
          <w:p>
            <w:pPr>
              <w:pStyle w:val="0"/>
            </w:pPr>
            <w:r>
              <w:rPr>
                <w:sz w:val="24"/>
              </w:rPr>
            </w:r>
          </w:p>
        </w:tc>
        <w:tc>
          <w:tcPr>
            <w:tcW w:w="850" w:type="dxa"/>
            <w:vAlign w:val="center"/>
          </w:tcPr>
          <w:p>
            <w:pPr>
              <w:pStyle w:val="0"/>
              <w:jc w:val="center"/>
            </w:pPr>
            <w:r>
              <w:rPr>
                <w:sz w:val="24"/>
              </w:rPr>
              <w:t xml:space="preserve">Всего</w:t>
            </w:r>
          </w:p>
        </w:tc>
        <w:tc>
          <w:tcPr>
            <w:tcW w:w="1020" w:type="dxa"/>
          </w:tcPr>
          <w:p>
            <w:pPr>
              <w:pStyle w:val="0"/>
            </w:pPr>
            <w:r>
              <w:rPr>
                <w:sz w:val="24"/>
              </w:rPr>
            </w:r>
          </w:p>
        </w:tc>
        <w:tc>
          <w:tcPr>
            <w:tcW w:w="1020" w:type="dxa"/>
          </w:tcPr>
          <w:p>
            <w:pPr>
              <w:pStyle w:val="0"/>
            </w:pPr>
            <w:r>
              <w:rPr>
                <w:sz w:val="24"/>
              </w:rPr>
            </w:r>
          </w:p>
        </w:tc>
        <w:tc>
          <w:tcPr>
            <w:tcW w:w="793" w:type="dxa"/>
          </w:tcPr>
          <w:p>
            <w:pPr>
              <w:pStyle w:val="0"/>
            </w:pPr>
            <w:r>
              <w:rPr>
                <w:sz w:val="24"/>
              </w:rPr>
            </w:r>
          </w:p>
        </w:tc>
        <w:tc>
          <w:tcPr>
            <w:tcW w:w="680" w:type="dxa"/>
          </w:tcPr>
          <w:p>
            <w:pPr>
              <w:pStyle w:val="0"/>
            </w:pPr>
            <w:r>
              <w:rPr>
                <w:sz w:val="24"/>
              </w:rPr>
            </w:r>
          </w:p>
        </w:tc>
        <w:tc>
          <w:tcPr>
            <w:tcW w:w="1020" w:type="dxa"/>
          </w:tcPr>
          <w:p>
            <w:pPr>
              <w:pStyle w:val="0"/>
            </w:pPr>
            <w:r>
              <w:rPr>
                <w:sz w:val="24"/>
              </w:rPr>
            </w:r>
          </w:p>
        </w:tc>
        <w:tc>
          <w:tcPr>
            <w:tcW w:w="793" w:type="dxa"/>
          </w:tcPr>
          <w:p>
            <w:pPr>
              <w:pStyle w:val="0"/>
            </w:pPr>
            <w:r>
              <w:rPr>
                <w:sz w:val="24"/>
              </w:rPr>
            </w:r>
          </w:p>
        </w:tc>
        <w:tc>
          <w:tcPr>
            <w:tcW w:w="1303" w:type="dxa"/>
          </w:tcPr>
          <w:p>
            <w:pPr>
              <w:pStyle w:val="0"/>
            </w:pPr>
            <w:r>
              <w:rPr>
                <w:sz w:val="24"/>
              </w:rPr>
            </w:r>
          </w:p>
        </w:tc>
        <w:tc>
          <w:tcPr>
            <w:tcW w:w="793" w:type="dxa"/>
          </w:tcPr>
          <w:p>
            <w:pPr>
              <w:pStyle w:val="0"/>
            </w:pPr>
            <w:r>
              <w:rPr>
                <w:sz w:val="24"/>
              </w:rPr>
            </w:r>
          </w:p>
        </w:tc>
        <w:tc>
          <w:tcPr>
            <w:tcW w:w="793" w:type="dxa"/>
          </w:tcPr>
          <w:p>
            <w:pPr>
              <w:pStyle w:val="0"/>
            </w:pPr>
            <w:r>
              <w:rPr>
                <w:sz w:val="24"/>
              </w:rPr>
            </w:r>
          </w:p>
        </w:tc>
        <w:tc>
          <w:tcPr>
            <w:tcW w:w="680" w:type="dxa"/>
          </w:tcPr>
          <w:p>
            <w:pPr>
              <w:pStyle w:val="0"/>
            </w:pPr>
            <w:r>
              <w:rPr>
                <w:sz w:val="24"/>
              </w:rPr>
            </w:r>
          </w:p>
        </w:tc>
        <w:tc>
          <w:tcPr>
            <w:tcW w:w="680" w:type="dxa"/>
          </w:tcPr>
          <w:p>
            <w:pPr>
              <w:pStyle w:val="0"/>
            </w:pPr>
            <w:r>
              <w:rPr>
                <w:sz w:val="24"/>
              </w:rPr>
            </w:r>
          </w:p>
        </w:tc>
        <w:tc>
          <w:tcPr>
            <w:tcW w:w="680" w:type="dxa"/>
          </w:tcPr>
          <w:p>
            <w:pPr>
              <w:pStyle w:val="0"/>
            </w:pPr>
            <w:r>
              <w:rPr>
                <w:sz w:val="24"/>
              </w:rPr>
            </w:r>
          </w:p>
        </w:tc>
        <w:tc>
          <w:tcPr>
            <w:tcW w:w="1133" w:type="dxa"/>
          </w:tcPr>
          <w:p>
            <w:pPr>
              <w:pStyle w:val="0"/>
            </w:pPr>
            <w:r>
              <w:rPr>
                <w:sz w:val="24"/>
              </w:rPr>
            </w:r>
          </w:p>
        </w:tc>
      </w:tr>
      <w:tr>
        <w:tc>
          <w:tcPr>
            <w:vMerge w:val="continue"/>
          </w:tcPr>
          <w:p/>
        </w:tc>
        <w:tc>
          <w:tcPr>
            <w:tcW w:w="566" w:type="dxa"/>
          </w:tcPr>
          <w:p>
            <w:pPr>
              <w:pStyle w:val="0"/>
            </w:pPr>
            <w:r>
              <w:rPr>
                <w:sz w:val="24"/>
              </w:rPr>
            </w:r>
          </w:p>
        </w:tc>
        <w:tc>
          <w:tcPr>
            <w:tcW w:w="850" w:type="dxa"/>
            <w:vAlign w:val="center"/>
          </w:tcPr>
          <w:p>
            <w:pPr>
              <w:pStyle w:val="0"/>
              <w:jc w:val="center"/>
            </w:pPr>
            <w:r>
              <w:rPr>
                <w:sz w:val="24"/>
              </w:rPr>
              <w:t xml:space="preserve">Взрослые</w:t>
            </w:r>
          </w:p>
        </w:tc>
        <w:tc>
          <w:tcPr>
            <w:tcW w:w="1020" w:type="dxa"/>
          </w:tcPr>
          <w:p>
            <w:pPr>
              <w:pStyle w:val="0"/>
            </w:pPr>
            <w:r>
              <w:rPr>
                <w:sz w:val="24"/>
              </w:rPr>
            </w:r>
          </w:p>
        </w:tc>
        <w:tc>
          <w:tcPr>
            <w:tcW w:w="1020" w:type="dxa"/>
          </w:tcPr>
          <w:p>
            <w:pPr>
              <w:pStyle w:val="0"/>
            </w:pPr>
            <w:r>
              <w:rPr>
                <w:sz w:val="24"/>
              </w:rPr>
            </w:r>
          </w:p>
        </w:tc>
        <w:tc>
          <w:tcPr>
            <w:tcW w:w="793" w:type="dxa"/>
          </w:tcPr>
          <w:p>
            <w:pPr>
              <w:pStyle w:val="0"/>
            </w:pPr>
            <w:r>
              <w:rPr>
                <w:sz w:val="24"/>
              </w:rPr>
            </w:r>
          </w:p>
        </w:tc>
        <w:tc>
          <w:tcPr>
            <w:tcW w:w="680" w:type="dxa"/>
          </w:tcPr>
          <w:p>
            <w:pPr>
              <w:pStyle w:val="0"/>
            </w:pPr>
            <w:r>
              <w:rPr>
                <w:sz w:val="24"/>
              </w:rPr>
            </w:r>
          </w:p>
        </w:tc>
        <w:tc>
          <w:tcPr>
            <w:tcW w:w="1020" w:type="dxa"/>
          </w:tcPr>
          <w:p>
            <w:pPr>
              <w:pStyle w:val="0"/>
            </w:pPr>
            <w:r>
              <w:rPr>
                <w:sz w:val="24"/>
              </w:rPr>
            </w:r>
          </w:p>
        </w:tc>
        <w:tc>
          <w:tcPr>
            <w:tcW w:w="793" w:type="dxa"/>
          </w:tcPr>
          <w:p>
            <w:pPr>
              <w:pStyle w:val="0"/>
            </w:pPr>
            <w:r>
              <w:rPr>
                <w:sz w:val="24"/>
              </w:rPr>
            </w:r>
          </w:p>
        </w:tc>
        <w:tc>
          <w:tcPr>
            <w:tcW w:w="1303" w:type="dxa"/>
          </w:tcPr>
          <w:p>
            <w:pPr>
              <w:pStyle w:val="0"/>
            </w:pPr>
            <w:r>
              <w:rPr>
                <w:sz w:val="24"/>
              </w:rPr>
            </w:r>
          </w:p>
        </w:tc>
        <w:tc>
          <w:tcPr>
            <w:tcW w:w="793" w:type="dxa"/>
          </w:tcPr>
          <w:p>
            <w:pPr>
              <w:pStyle w:val="0"/>
            </w:pPr>
            <w:r>
              <w:rPr>
                <w:sz w:val="24"/>
              </w:rPr>
            </w:r>
          </w:p>
        </w:tc>
        <w:tc>
          <w:tcPr>
            <w:tcW w:w="793" w:type="dxa"/>
          </w:tcPr>
          <w:p>
            <w:pPr>
              <w:pStyle w:val="0"/>
            </w:pPr>
            <w:r>
              <w:rPr>
                <w:sz w:val="24"/>
              </w:rPr>
            </w:r>
          </w:p>
        </w:tc>
        <w:tc>
          <w:tcPr>
            <w:tcW w:w="680" w:type="dxa"/>
          </w:tcPr>
          <w:p>
            <w:pPr>
              <w:pStyle w:val="0"/>
            </w:pPr>
            <w:r>
              <w:rPr>
                <w:sz w:val="24"/>
              </w:rPr>
            </w:r>
          </w:p>
        </w:tc>
        <w:tc>
          <w:tcPr>
            <w:tcW w:w="680" w:type="dxa"/>
          </w:tcPr>
          <w:p>
            <w:pPr>
              <w:pStyle w:val="0"/>
            </w:pPr>
            <w:r>
              <w:rPr>
                <w:sz w:val="24"/>
              </w:rPr>
            </w:r>
          </w:p>
        </w:tc>
        <w:tc>
          <w:tcPr>
            <w:tcW w:w="680" w:type="dxa"/>
          </w:tcPr>
          <w:p>
            <w:pPr>
              <w:pStyle w:val="0"/>
            </w:pPr>
            <w:r>
              <w:rPr>
                <w:sz w:val="24"/>
              </w:rPr>
            </w:r>
          </w:p>
        </w:tc>
        <w:tc>
          <w:tcPr>
            <w:tcW w:w="1133" w:type="dxa"/>
          </w:tcPr>
          <w:p>
            <w:pPr>
              <w:pStyle w:val="0"/>
            </w:pPr>
            <w:r>
              <w:rPr>
                <w:sz w:val="24"/>
              </w:rPr>
            </w:r>
          </w:p>
        </w:tc>
      </w:tr>
      <w:tr>
        <w:tc>
          <w:tcPr>
            <w:vMerge w:val="continue"/>
          </w:tcPr>
          <w:p/>
        </w:tc>
        <w:tc>
          <w:tcPr>
            <w:tcW w:w="566" w:type="dxa"/>
          </w:tcPr>
          <w:p>
            <w:pPr>
              <w:pStyle w:val="0"/>
            </w:pPr>
            <w:r>
              <w:rPr>
                <w:sz w:val="24"/>
              </w:rPr>
            </w:r>
          </w:p>
        </w:tc>
        <w:tc>
          <w:tcPr>
            <w:tcW w:w="850" w:type="dxa"/>
            <w:vAlign w:val="center"/>
          </w:tcPr>
          <w:p>
            <w:pPr>
              <w:pStyle w:val="0"/>
              <w:jc w:val="center"/>
            </w:pPr>
            <w:r>
              <w:rPr>
                <w:sz w:val="24"/>
              </w:rPr>
              <w:t xml:space="preserve">Дети</w:t>
            </w:r>
          </w:p>
        </w:tc>
        <w:tc>
          <w:tcPr>
            <w:tcW w:w="1020" w:type="dxa"/>
          </w:tcPr>
          <w:p>
            <w:pPr>
              <w:pStyle w:val="0"/>
            </w:pPr>
            <w:r>
              <w:rPr>
                <w:sz w:val="24"/>
              </w:rPr>
            </w:r>
          </w:p>
        </w:tc>
        <w:tc>
          <w:tcPr>
            <w:tcW w:w="1020" w:type="dxa"/>
          </w:tcPr>
          <w:p>
            <w:pPr>
              <w:pStyle w:val="0"/>
            </w:pPr>
            <w:r>
              <w:rPr>
                <w:sz w:val="24"/>
              </w:rPr>
            </w:r>
          </w:p>
        </w:tc>
        <w:tc>
          <w:tcPr>
            <w:tcW w:w="793" w:type="dxa"/>
          </w:tcPr>
          <w:p>
            <w:pPr>
              <w:pStyle w:val="0"/>
            </w:pPr>
            <w:r>
              <w:rPr>
                <w:sz w:val="24"/>
              </w:rPr>
            </w:r>
          </w:p>
        </w:tc>
        <w:tc>
          <w:tcPr>
            <w:tcW w:w="680" w:type="dxa"/>
          </w:tcPr>
          <w:p>
            <w:pPr>
              <w:pStyle w:val="0"/>
            </w:pPr>
            <w:r>
              <w:rPr>
                <w:sz w:val="24"/>
              </w:rPr>
            </w:r>
          </w:p>
        </w:tc>
        <w:tc>
          <w:tcPr>
            <w:tcW w:w="1020" w:type="dxa"/>
          </w:tcPr>
          <w:p>
            <w:pPr>
              <w:pStyle w:val="0"/>
            </w:pPr>
            <w:r>
              <w:rPr>
                <w:sz w:val="24"/>
              </w:rPr>
            </w:r>
          </w:p>
        </w:tc>
        <w:tc>
          <w:tcPr>
            <w:tcW w:w="793" w:type="dxa"/>
          </w:tcPr>
          <w:p>
            <w:pPr>
              <w:pStyle w:val="0"/>
            </w:pPr>
            <w:r>
              <w:rPr>
                <w:sz w:val="24"/>
              </w:rPr>
            </w:r>
          </w:p>
        </w:tc>
        <w:tc>
          <w:tcPr>
            <w:tcW w:w="1303" w:type="dxa"/>
          </w:tcPr>
          <w:p>
            <w:pPr>
              <w:pStyle w:val="0"/>
            </w:pPr>
            <w:r>
              <w:rPr>
                <w:sz w:val="24"/>
              </w:rPr>
            </w:r>
          </w:p>
        </w:tc>
        <w:tc>
          <w:tcPr>
            <w:tcW w:w="793" w:type="dxa"/>
          </w:tcPr>
          <w:p>
            <w:pPr>
              <w:pStyle w:val="0"/>
            </w:pPr>
            <w:r>
              <w:rPr>
                <w:sz w:val="24"/>
              </w:rPr>
            </w:r>
          </w:p>
        </w:tc>
        <w:tc>
          <w:tcPr>
            <w:tcW w:w="793" w:type="dxa"/>
          </w:tcPr>
          <w:p>
            <w:pPr>
              <w:pStyle w:val="0"/>
            </w:pPr>
            <w:r>
              <w:rPr>
                <w:sz w:val="24"/>
              </w:rPr>
            </w:r>
          </w:p>
        </w:tc>
        <w:tc>
          <w:tcPr>
            <w:tcW w:w="680" w:type="dxa"/>
          </w:tcPr>
          <w:p>
            <w:pPr>
              <w:pStyle w:val="0"/>
            </w:pPr>
            <w:r>
              <w:rPr>
                <w:sz w:val="24"/>
              </w:rPr>
            </w:r>
          </w:p>
        </w:tc>
        <w:tc>
          <w:tcPr>
            <w:tcW w:w="680" w:type="dxa"/>
          </w:tcPr>
          <w:p>
            <w:pPr>
              <w:pStyle w:val="0"/>
            </w:pPr>
            <w:r>
              <w:rPr>
                <w:sz w:val="24"/>
              </w:rPr>
            </w:r>
          </w:p>
        </w:tc>
        <w:tc>
          <w:tcPr>
            <w:tcW w:w="680" w:type="dxa"/>
          </w:tcPr>
          <w:p>
            <w:pPr>
              <w:pStyle w:val="0"/>
            </w:pPr>
            <w:r>
              <w:rPr>
                <w:sz w:val="24"/>
              </w:rPr>
            </w:r>
          </w:p>
        </w:tc>
        <w:tc>
          <w:tcPr>
            <w:tcW w:w="1133" w:type="dxa"/>
          </w:tcPr>
          <w:p>
            <w:pPr>
              <w:pStyle w:val="0"/>
            </w:pPr>
            <w:r>
              <w:rPr>
                <w:sz w:val="24"/>
              </w:rPr>
            </w:r>
          </w:p>
        </w:tc>
      </w:tr>
    </w:tbl>
    <w:p>
      <w:pPr>
        <w:sectPr>
          <w:headerReference w:type="default" r:id="rId306"/>
          <w:headerReference w:type="first" r:id="rId306"/>
          <w:footerReference w:type="default" r:id="rId307"/>
          <w:footerReference w:type="first" r:id="rId307"/>
          <w:pgSz w:w="16838" w:h="11906" w:orient="landscape"/>
          <w:pgMar w:top="1133" w:right="1440" w:bottom="566" w:left="1440" w:header="0" w:footer="0" w:gutter="0"/>
          <w:titlePg/>
        </w:sectPr>
      </w:pPr>
    </w:p>
    <w:p>
      <w:pPr>
        <w:pStyle w:val="0"/>
        <w:jc w:val="both"/>
      </w:pPr>
      <w:r>
        <w:rPr>
          <w:sz w:val="24"/>
        </w:rPr>
      </w:r>
    </w:p>
    <w:tbl>
      <w:tblPr>
        <w:tblInd w:w="0" w:type="dxa"/>
        <w:tblLayout w:type="fixed"/>
        <w:tblBorders>
          <w:left w:val="single" w:sz="4"/>
          <w:bottom w:val="single" w:sz="4"/>
          <w:right w:val="single" w:sz="4"/>
          <w:insideV w:val="single" w:sz="4"/>
          <w:insideH w:val="single" w:sz="4"/>
        </w:tblBorders>
        <w:tblCellMar>
          <w:top w:w="102" w:type="dxa"/>
          <w:left w:w="62" w:type="dxa"/>
          <w:bottom w:w="102" w:type="dxa"/>
          <w:right w:w="62" w:type="dxa"/>
        </w:tblCellMar>
      </w:tblPr>
      <w:tblGrid>
        <w:gridCol w:w="964"/>
        <w:gridCol w:w="566"/>
        <w:gridCol w:w="963"/>
        <w:gridCol w:w="964"/>
        <w:gridCol w:w="907"/>
        <w:gridCol w:w="964"/>
        <w:gridCol w:w="907"/>
        <w:gridCol w:w="1020"/>
        <w:gridCol w:w="854"/>
        <w:gridCol w:w="964"/>
      </w:tblGrid>
      <w:tr>
        <w:tblPrEx>
          <w:tblBorders>
            <w:left w:val="nil"/>
            <w:right w:val="nil"/>
          </w:tblBorders>
        </w:tblPrEx>
        <w:tc>
          <w:tcPr>
            <w:gridSpan w:val="10"/>
            <w:tcW w:w="9073" w:type="dxa"/>
            <w:tcBorders>
              <w:top w:val="nil"/>
              <w:left w:val="nil"/>
              <w:right w:val="nil"/>
            </w:tcBorders>
          </w:tcPr>
          <w:p>
            <w:pPr>
              <w:pStyle w:val="0"/>
              <w:outlineLvl w:val="3"/>
              <w:ind w:firstLine="283"/>
              <w:jc w:val="both"/>
            </w:pPr>
            <w:r>
              <w:rPr>
                <w:sz w:val="24"/>
              </w:rPr>
              <w:t xml:space="preserve">Первичная медико-санитарная помощь. Дневной стационар</w:t>
            </w:r>
          </w:p>
        </w:tc>
      </w:tr>
      <w:tr>
        <w:tc>
          <w:tcPr>
            <w:tcW w:w="964" w:type="dxa"/>
          </w:tcPr>
          <w:p>
            <w:pPr>
              <w:pStyle w:val="0"/>
              <w:jc w:val="center"/>
            </w:pPr>
            <w:r>
              <w:rPr>
                <w:sz w:val="24"/>
              </w:rPr>
              <w:t xml:space="preserve">Источник финансового обеспечения</w:t>
            </w:r>
          </w:p>
        </w:tc>
        <w:tc>
          <w:tcPr>
            <w:tcW w:w="566" w:type="dxa"/>
          </w:tcPr>
          <w:p>
            <w:pPr>
              <w:pStyle w:val="0"/>
              <w:jc w:val="center"/>
            </w:pPr>
            <w:r>
              <w:rPr>
                <w:sz w:val="24"/>
              </w:rPr>
              <w:t xml:space="preserve">N пп</w:t>
            </w:r>
          </w:p>
        </w:tc>
        <w:tc>
          <w:tcPr>
            <w:tcW w:w="963" w:type="dxa"/>
          </w:tcPr>
          <w:p>
            <w:pPr>
              <w:pStyle w:val="0"/>
              <w:jc w:val="center"/>
            </w:pPr>
            <w:r>
              <w:rPr>
                <w:sz w:val="24"/>
              </w:rPr>
              <w:t xml:space="preserve">Профиль медицинской помощи</w:t>
            </w:r>
          </w:p>
          <w:p>
            <w:pPr>
              <w:pStyle w:val="0"/>
              <w:jc w:val="center"/>
            </w:pPr>
            <w:r>
              <w:rPr>
                <w:sz w:val="24"/>
              </w:rPr>
              <w:t xml:space="preserve">(Код)</w:t>
            </w:r>
          </w:p>
        </w:tc>
        <w:tc>
          <w:tcPr>
            <w:tcW w:w="964" w:type="dxa"/>
          </w:tcPr>
          <w:p>
            <w:pPr>
              <w:pStyle w:val="0"/>
              <w:jc w:val="center"/>
            </w:pPr>
            <w:r>
              <w:rPr>
                <w:sz w:val="24"/>
              </w:rPr>
              <w:t xml:space="preserve">Профиль медицинской помощи</w:t>
            </w:r>
          </w:p>
          <w:p>
            <w:pPr>
              <w:pStyle w:val="0"/>
              <w:jc w:val="center"/>
            </w:pPr>
            <w:r>
              <w:rPr>
                <w:sz w:val="24"/>
              </w:rPr>
              <w:t xml:space="preserve">(Наименование)</w:t>
            </w:r>
          </w:p>
        </w:tc>
        <w:tc>
          <w:tcPr>
            <w:tcW w:w="907" w:type="dxa"/>
          </w:tcPr>
          <w:p>
            <w:pPr>
              <w:pStyle w:val="0"/>
              <w:jc w:val="center"/>
            </w:pPr>
            <w:r>
              <w:rPr>
                <w:sz w:val="24"/>
              </w:rPr>
              <w:t xml:space="preserve">Клинико-профильная группа (КПГ)</w:t>
            </w:r>
          </w:p>
          <w:p>
            <w:pPr>
              <w:pStyle w:val="0"/>
              <w:jc w:val="center"/>
            </w:pPr>
            <w:r>
              <w:rPr>
                <w:sz w:val="24"/>
              </w:rPr>
              <w:t xml:space="preserve">(Код)</w:t>
            </w:r>
          </w:p>
        </w:tc>
        <w:tc>
          <w:tcPr>
            <w:tcW w:w="964" w:type="dxa"/>
          </w:tcPr>
          <w:p>
            <w:pPr>
              <w:pStyle w:val="0"/>
              <w:jc w:val="center"/>
            </w:pPr>
            <w:r>
              <w:rPr>
                <w:sz w:val="24"/>
              </w:rPr>
              <w:t xml:space="preserve">Клинико-профильная группа (КПГ)</w:t>
            </w:r>
          </w:p>
          <w:p>
            <w:pPr>
              <w:pStyle w:val="0"/>
              <w:jc w:val="center"/>
            </w:pPr>
            <w:r>
              <w:rPr>
                <w:sz w:val="24"/>
              </w:rPr>
              <w:t xml:space="preserve">(Наименование)</w:t>
            </w:r>
          </w:p>
        </w:tc>
        <w:tc>
          <w:tcPr>
            <w:tcW w:w="907" w:type="dxa"/>
          </w:tcPr>
          <w:p>
            <w:pPr>
              <w:pStyle w:val="0"/>
              <w:jc w:val="center"/>
            </w:pPr>
            <w:r>
              <w:rPr>
                <w:sz w:val="24"/>
              </w:rPr>
              <w:t xml:space="preserve">Клинико-статистическая группа (КСГ)</w:t>
            </w:r>
          </w:p>
          <w:p>
            <w:pPr>
              <w:pStyle w:val="0"/>
              <w:jc w:val="center"/>
            </w:pPr>
            <w:r>
              <w:rPr>
                <w:sz w:val="24"/>
              </w:rPr>
              <w:t xml:space="preserve">(Код)</w:t>
            </w:r>
          </w:p>
        </w:tc>
        <w:tc>
          <w:tcPr>
            <w:tcW w:w="1020" w:type="dxa"/>
          </w:tcPr>
          <w:p>
            <w:pPr>
              <w:pStyle w:val="0"/>
              <w:jc w:val="center"/>
            </w:pPr>
            <w:r>
              <w:rPr>
                <w:sz w:val="24"/>
              </w:rPr>
              <w:t xml:space="preserve">Клинико-статистическая группа (КСГ)</w:t>
            </w:r>
          </w:p>
          <w:p>
            <w:pPr>
              <w:pStyle w:val="0"/>
              <w:jc w:val="center"/>
            </w:pPr>
            <w:r>
              <w:rPr>
                <w:sz w:val="24"/>
              </w:rPr>
              <w:t xml:space="preserve">(Наименование)</w:t>
            </w:r>
          </w:p>
        </w:tc>
        <w:tc>
          <w:tcPr>
            <w:tcW w:w="854" w:type="dxa"/>
          </w:tcPr>
          <w:p>
            <w:pPr>
              <w:pStyle w:val="0"/>
              <w:jc w:val="center"/>
            </w:pPr>
            <w:r>
              <w:rPr>
                <w:sz w:val="24"/>
              </w:rPr>
              <w:t xml:space="preserve">Объем медицинской помощи (случай)</w:t>
            </w:r>
          </w:p>
        </w:tc>
        <w:tc>
          <w:tcPr>
            <w:tcW w:w="964" w:type="dxa"/>
          </w:tcPr>
          <w:p>
            <w:pPr>
              <w:pStyle w:val="0"/>
              <w:jc w:val="center"/>
            </w:pPr>
            <w:r>
              <w:rPr>
                <w:sz w:val="24"/>
              </w:rPr>
              <w:t xml:space="preserve">Объем финансового обеспечения медицинской помощи (руб.)</w:t>
            </w:r>
          </w:p>
        </w:tc>
      </w:tr>
      <w:tr>
        <w:tc>
          <w:tcPr>
            <w:tcW w:w="964" w:type="dxa"/>
            <w:vMerge w:val="restart"/>
          </w:tcPr>
          <w:p>
            <w:pPr>
              <w:pStyle w:val="0"/>
            </w:pPr>
            <w:r>
              <w:rPr>
                <w:sz w:val="24"/>
              </w:rPr>
            </w:r>
          </w:p>
        </w:tc>
        <w:tc>
          <w:tcPr>
            <w:tcW w:w="566" w:type="dxa"/>
          </w:tcPr>
          <w:p>
            <w:pPr>
              <w:pStyle w:val="0"/>
            </w:pPr>
            <w:r>
              <w:rPr>
                <w:sz w:val="24"/>
              </w:rPr>
            </w:r>
          </w:p>
        </w:tc>
        <w:tc>
          <w:tcPr>
            <w:tcW w:w="963" w:type="dxa"/>
          </w:tcPr>
          <w:p>
            <w:pPr>
              <w:pStyle w:val="0"/>
            </w:pPr>
            <w:r>
              <w:rPr>
                <w:sz w:val="24"/>
              </w:rPr>
            </w:r>
          </w:p>
        </w:tc>
        <w:tc>
          <w:tcPr>
            <w:tcW w:w="964" w:type="dxa"/>
          </w:tcPr>
          <w:p>
            <w:pPr>
              <w:pStyle w:val="0"/>
            </w:pPr>
            <w:r>
              <w:rPr>
                <w:sz w:val="24"/>
              </w:rPr>
            </w:r>
          </w:p>
        </w:tc>
        <w:tc>
          <w:tcPr>
            <w:tcW w:w="907" w:type="dxa"/>
          </w:tcPr>
          <w:p>
            <w:pPr>
              <w:pStyle w:val="0"/>
            </w:pPr>
            <w:r>
              <w:rPr>
                <w:sz w:val="24"/>
              </w:rPr>
            </w:r>
          </w:p>
        </w:tc>
        <w:tc>
          <w:tcPr>
            <w:tcW w:w="964" w:type="dxa"/>
          </w:tcPr>
          <w:p>
            <w:pPr>
              <w:pStyle w:val="0"/>
            </w:pPr>
            <w:r>
              <w:rPr>
                <w:sz w:val="24"/>
              </w:rPr>
            </w:r>
          </w:p>
        </w:tc>
        <w:tc>
          <w:tcPr>
            <w:tcW w:w="907" w:type="dxa"/>
          </w:tcPr>
          <w:p>
            <w:pPr>
              <w:pStyle w:val="0"/>
            </w:pPr>
            <w:r>
              <w:rPr>
                <w:sz w:val="24"/>
              </w:rPr>
            </w:r>
          </w:p>
        </w:tc>
        <w:tc>
          <w:tcPr>
            <w:tcW w:w="1020" w:type="dxa"/>
            <w:vAlign w:val="center"/>
          </w:tcPr>
          <w:p>
            <w:pPr>
              <w:pStyle w:val="0"/>
              <w:jc w:val="center"/>
            </w:pPr>
            <w:r>
              <w:rPr>
                <w:sz w:val="24"/>
              </w:rPr>
              <w:t xml:space="preserve">Всего</w:t>
            </w:r>
          </w:p>
        </w:tc>
        <w:tc>
          <w:tcPr>
            <w:tcW w:w="854" w:type="dxa"/>
          </w:tcPr>
          <w:p>
            <w:pPr>
              <w:pStyle w:val="0"/>
            </w:pPr>
            <w:r>
              <w:rPr>
                <w:sz w:val="24"/>
              </w:rPr>
            </w:r>
          </w:p>
        </w:tc>
        <w:tc>
          <w:tcPr>
            <w:tcW w:w="964" w:type="dxa"/>
          </w:tcPr>
          <w:p>
            <w:pPr>
              <w:pStyle w:val="0"/>
            </w:pPr>
            <w:r>
              <w:rPr>
                <w:sz w:val="24"/>
              </w:rPr>
            </w:r>
          </w:p>
        </w:tc>
      </w:tr>
      <w:tr>
        <w:tc>
          <w:tcPr>
            <w:vMerge w:val="continue"/>
          </w:tcPr>
          <w:p/>
        </w:tc>
        <w:tc>
          <w:tcPr>
            <w:tcW w:w="566" w:type="dxa"/>
          </w:tcPr>
          <w:p>
            <w:pPr>
              <w:pStyle w:val="0"/>
            </w:pPr>
            <w:r>
              <w:rPr>
                <w:sz w:val="24"/>
              </w:rPr>
            </w:r>
          </w:p>
        </w:tc>
        <w:tc>
          <w:tcPr>
            <w:tcW w:w="963" w:type="dxa"/>
          </w:tcPr>
          <w:p>
            <w:pPr>
              <w:pStyle w:val="0"/>
            </w:pPr>
            <w:r>
              <w:rPr>
                <w:sz w:val="24"/>
              </w:rPr>
            </w:r>
          </w:p>
        </w:tc>
        <w:tc>
          <w:tcPr>
            <w:tcW w:w="964" w:type="dxa"/>
          </w:tcPr>
          <w:p>
            <w:pPr>
              <w:pStyle w:val="0"/>
            </w:pPr>
            <w:r>
              <w:rPr>
                <w:sz w:val="24"/>
              </w:rPr>
            </w:r>
          </w:p>
        </w:tc>
        <w:tc>
          <w:tcPr>
            <w:tcW w:w="907" w:type="dxa"/>
          </w:tcPr>
          <w:p>
            <w:pPr>
              <w:pStyle w:val="0"/>
            </w:pPr>
            <w:r>
              <w:rPr>
                <w:sz w:val="24"/>
              </w:rPr>
            </w:r>
          </w:p>
        </w:tc>
        <w:tc>
          <w:tcPr>
            <w:tcW w:w="964" w:type="dxa"/>
          </w:tcPr>
          <w:p>
            <w:pPr>
              <w:pStyle w:val="0"/>
            </w:pPr>
            <w:r>
              <w:rPr>
                <w:sz w:val="24"/>
              </w:rPr>
            </w:r>
          </w:p>
        </w:tc>
        <w:tc>
          <w:tcPr>
            <w:tcW w:w="907" w:type="dxa"/>
          </w:tcPr>
          <w:p>
            <w:pPr>
              <w:pStyle w:val="0"/>
            </w:pPr>
            <w:r>
              <w:rPr>
                <w:sz w:val="24"/>
              </w:rPr>
            </w:r>
          </w:p>
        </w:tc>
        <w:tc>
          <w:tcPr>
            <w:tcW w:w="1020" w:type="dxa"/>
            <w:vAlign w:val="center"/>
          </w:tcPr>
          <w:p>
            <w:pPr>
              <w:pStyle w:val="0"/>
            </w:pPr>
            <w:r>
              <w:rPr>
                <w:sz w:val="24"/>
              </w:rPr>
            </w:r>
          </w:p>
        </w:tc>
        <w:tc>
          <w:tcPr>
            <w:tcW w:w="854" w:type="dxa"/>
          </w:tcPr>
          <w:p>
            <w:pPr>
              <w:pStyle w:val="0"/>
            </w:pPr>
            <w:r>
              <w:rPr>
                <w:sz w:val="24"/>
              </w:rPr>
            </w:r>
          </w:p>
        </w:tc>
        <w:tc>
          <w:tcPr>
            <w:tcW w:w="964" w:type="dxa"/>
          </w:tcPr>
          <w:p>
            <w:pPr>
              <w:pStyle w:val="0"/>
            </w:pPr>
            <w:r>
              <w:rPr>
                <w:sz w:val="24"/>
              </w:rPr>
            </w:r>
          </w:p>
        </w:tc>
      </w:tr>
      <w:tr>
        <w:tc>
          <w:tcPr>
            <w:tcW w:w="964" w:type="dxa"/>
            <w:vMerge w:val="restart"/>
          </w:tcPr>
          <w:p>
            <w:pPr>
              <w:pStyle w:val="0"/>
            </w:pPr>
            <w:r>
              <w:rPr>
                <w:sz w:val="24"/>
              </w:rPr>
            </w:r>
          </w:p>
        </w:tc>
        <w:tc>
          <w:tcPr>
            <w:tcW w:w="566" w:type="dxa"/>
          </w:tcPr>
          <w:p>
            <w:pPr>
              <w:pStyle w:val="0"/>
            </w:pPr>
            <w:r>
              <w:rPr>
                <w:sz w:val="24"/>
              </w:rPr>
            </w:r>
          </w:p>
        </w:tc>
        <w:tc>
          <w:tcPr>
            <w:tcW w:w="963" w:type="dxa"/>
          </w:tcPr>
          <w:p>
            <w:pPr>
              <w:pStyle w:val="0"/>
            </w:pPr>
            <w:r>
              <w:rPr>
                <w:sz w:val="24"/>
              </w:rPr>
            </w:r>
          </w:p>
        </w:tc>
        <w:tc>
          <w:tcPr>
            <w:tcW w:w="964" w:type="dxa"/>
          </w:tcPr>
          <w:p>
            <w:pPr>
              <w:pStyle w:val="0"/>
            </w:pPr>
            <w:r>
              <w:rPr>
                <w:sz w:val="24"/>
              </w:rPr>
            </w:r>
          </w:p>
        </w:tc>
        <w:tc>
          <w:tcPr>
            <w:tcW w:w="907" w:type="dxa"/>
          </w:tcPr>
          <w:p>
            <w:pPr>
              <w:pStyle w:val="0"/>
            </w:pPr>
            <w:r>
              <w:rPr>
                <w:sz w:val="24"/>
              </w:rPr>
            </w:r>
          </w:p>
        </w:tc>
        <w:tc>
          <w:tcPr>
            <w:tcW w:w="964" w:type="dxa"/>
          </w:tcPr>
          <w:p>
            <w:pPr>
              <w:pStyle w:val="0"/>
            </w:pPr>
            <w:r>
              <w:rPr>
                <w:sz w:val="24"/>
              </w:rPr>
            </w:r>
          </w:p>
        </w:tc>
        <w:tc>
          <w:tcPr>
            <w:tcW w:w="907" w:type="dxa"/>
          </w:tcPr>
          <w:p>
            <w:pPr>
              <w:pStyle w:val="0"/>
            </w:pPr>
            <w:r>
              <w:rPr>
                <w:sz w:val="24"/>
              </w:rPr>
            </w:r>
          </w:p>
        </w:tc>
        <w:tc>
          <w:tcPr>
            <w:tcW w:w="1020" w:type="dxa"/>
            <w:vAlign w:val="center"/>
          </w:tcPr>
          <w:p>
            <w:pPr>
              <w:pStyle w:val="0"/>
              <w:jc w:val="center"/>
            </w:pPr>
            <w:r>
              <w:rPr>
                <w:sz w:val="24"/>
              </w:rPr>
              <w:t xml:space="preserve">Всего</w:t>
            </w:r>
          </w:p>
        </w:tc>
        <w:tc>
          <w:tcPr>
            <w:tcW w:w="854" w:type="dxa"/>
          </w:tcPr>
          <w:p>
            <w:pPr>
              <w:pStyle w:val="0"/>
            </w:pPr>
            <w:r>
              <w:rPr>
                <w:sz w:val="24"/>
              </w:rPr>
            </w:r>
          </w:p>
        </w:tc>
        <w:tc>
          <w:tcPr>
            <w:tcW w:w="964" w:type="dxa"/>
          </w:tcPr>
          <w:p>
            <w:pPr>
              <w:pStyle w:val="0"/>
            </w:pPr>
            <w:r>
              <w:rPr>
                <w:sz w:val="24"/>
              </w:rPr>
            </w:r>
          </w:p>
        </w:tc>
      </w:tr>
      <w:tr>
        <w:tc>
          <w:tcPr>
            <w:vMerge w:val="continue"/>
          </w:tcPr>
          <w:p/>
        </w:tc>
        <w:tc>
          <w:tcPr>
            <w:tcW w:w="566" w:type="dxa"/>
          </w:tcPr>
          <w:p>
            <w:pPr>
              <w:pStyle w:val="0"/>
            </w:pPr>
            <w:r>
              <w:rPr>
                <w:sz w:val="24"/>
              </w:rPr>
            </w:r>
          </w:p>
        </w:tc>
        <w:tc>
          <w:tcPr>
            <w:tcW w:w="963" w:type="dxa"/>
          </w:tcPr>
          <w:p>
            <w:pPr>
              <w:pStyle w:val="0"/>
            </w:pPr>
            <w:r>
              <w:rPr>
                <w:sz w:val="24"/>
              </w:rPr>
            </w:r>
          </w:p>
        </w:tc>
        <w:tc>
          <w:tcPr>
            <w:tcW w:w="964" w:type="dxa"/>
          </w:tcPr>
          <w:p>
            <w:pPr>
              <w:pStyle w:val="0"/>
            </w:pPr>
            <w:r>
              <w:rPr>
                <w:sz w:val="24"/>
              </w:rPr>
            </w:r>
          </w:p>
        </w:tc>
        <w:tc>
          <w:tcPr>
            <w:tcW w:w="907" w:type="dxa"/>
          </w:tcPr>
          <w:p>
            <w:pPr>
              <w:pStyle w:val="0"/>
            </w:pPr>
            <w:r>
              <w:rPr>
                <w:sz w:val="24"/>
              </w:rPr>
            </w:r>
          </w:p>
        </w:tc>
        <w:tc>
          <w:tcPr>
            <w:tcW w:w="964" w:type="dxa"/>
          </w:tcPr>
          <w:p>
            <w:pPr>
              <w:pStyle w:val="0"/>
            </w:pPr>
            <w:r>
              <w:rPr>
                <w:sz w:val="24"/>
              </w:rPr>
            </w:r>
          </w:p>
        </w:tc>
        <w:tc>
          <w:tcPr>
            <w:tcW w:w="907" w:type="dxa"/>
          </w:tcPr>
          <w:p>
            <w:pPr>
              <w:pStyle w:val="0"/>
            </w:pPr>
            <w:r>
              <w:rPr>
                <w:sz w:val="24"/>
              </w:rPr>
            </w:r>
          </w:p>
        </w:tc>
        <w:tc>
          <w:tcPr>
            <w:tcW w:w="1020" w:type="dxa"/>
            <w:vAlign w:val="center"/>
          </w:tcPr>
          <w:p>
            <w:pPr>
              <w:pStyle w:val="0"/>
            </w:pPr>
            <w:r>
              <w:rPr>
                <w:sz w:val="24"/>
              </w:rPr>
            </w:r>
          </w:p>
        </w:tc>
        <w:tc>
          <w:tcPr>
            <w:tcW w:w="854" w:type="dxa"/>
          </w:tcPr>
          <w:p>
            <w:pPr>
              <w:pStyle w:val="0"/>
            </w:pPr>
            <w:r>
              <w:rPr>
                <w:sz w:val="24"/>
              </w:rPr>
            </w:r>
          </w:p>
        </w:tc>
        <w:tc>
          <w:tcPr>
            <w:tcW w:w="964" w:type="dxa"/>
          </w:tcPr>
          <w:p>
            <w:pPr>
              <w:pStyle w:val="0"/>
            </w:pPr>
            <w:r>
              <w:rPr>
                <w:sz w:val="24"/>
              </w:rPr>
            </w:r>
          </w:p>
        </w:tc>
      </w:tr>
      <w:tr>
        <w:tc>
          <w:tcPr>
            <w:tcW w:w="964" w:type="dxa"/>
          </w:tcPr>
          <w:p>
            <w:pPr>
              <w:pStyle w:val="0"/>
            </w:pPr>
            <w:r>
              <w:rPr>
                <w:sz w:val="24"/>
              </w:rPr>
            </w:r>
          </w:p>
        </w:tc>
        <w:tc>
          <w:tcPr>
            <w:tcW w:w="566" w:type="dxa"/>
          </w:tcPr>
          <w:p>
            <w:pPr>
              <w:pStyle w:val="0"/>
            </w:pPr>
            <w:r>
              <w:rPr>
                <w:sz w:val="24"/>
              </w:rPr>
            </w:r>
          </w:p>
        </w:tc>
        <w:tc>
          <w:tcPr>
            <w:tcW w:w="963" w:type="dxa"/>
          </w:tcPr>
          <w:p>
            <w:pPr>
              <w:pStyle w:val="0"/>
            </w:pPr>
            <w:r>
              <w:rPr>
                <w:sz w:val="24"/>
              </w:rPr>
            </w:r>
          </w:p>
        </w:tc>
        <w:tc>
          <w:tcPr>
            <w:tcW w:w="964" w:type="dxa"/>
          </w:tcPr>
          <w:p>
            <w:pPr>
              <w:pStyle w:val="0"/>
            </w:pPr>
            <w:r>
              <w:rPr>
                <w:sz w:val="24"/>
              </w:rPr>
            </w:r>
          </w:p>
        </w:tc>
        <w:tc>
          <w:tcPr>
            <w:tcW w:w="907" w:type="dxa"/>
          </w:tcPr>
          <w:p>
            <w:pPr>
              <w:pStyle w:val="0"/>
            </w:pPr>
            <w:r>
              <w:rPr>
                <w:sz w:val="24"/>
              </w:rPr>
            </w:r>
          </w:p>
        </w:tc>
        <w:tc>
          <w:tcPr>
            <w:tcW w:w="964" w:type="dxa"/>
          </w:tcPr>
          <w:p>
            <w:pPr>
              <w:pStyle w:val="0"/>
            </w:pPr>
            <w:r>
              <w:rPr>
                <w:sz w:val="24"/>
              </w:rPr>
            </w:r>
          </w:p>
        </w:tc>
        <w:tc>
          <w:tcPr>
            <w:tcW w:w="907" w:type="dxa"/>
          </w:tcPr>
          <w:p>
            <w:pPr>
              <w:pStyle w:val="0"/>
            </w:pPr>
            <w:r>
              <w:rPr>
                <w:sz w:val="24"/>
              </w:rPr>
            </w:r>
          </w:p>
        </w:tc>
        <w:tc>
          <w:tcPr>
            <w:tcW w:w="1020" w:type="dxa"/>
            <w:vAlign w:val="center"/>
          </w:tcPr>
          <w:p>
            <w:pPr>
              <w:pStyle w:val="0"/>
              <w:jc w:val="center"/>
            </w:pPr>
            <w:r>
              <w:rPr>
                <w:sz w:val="24"/>
              </w:rPr>
              <w:t xml:space="preserve">Всего</w:t>
            </w:r>
          </w:p>
        </w:tc>
        <w:tc>
          <w:tcPr>
            <w:tcW w:w="854" w:type="dxa"/>
          </w:tcPr>
          <w:p>
            <w:pPr>
              <w:pStyle w:val="0"/>
            </w:pPr>
            <w:r>
              <w:rPr>
                <w:sz w:val="24"/>
              </w:rPr>
            </w:r>
          </w:p>
        </w:tc>
        <w:tc>
          <w:tcPr>
            <w:tcW w:w="964" w:type="dxa"/>
          </w:tcPr>
          <w:p>
            <w:pPr>
              <w:pStyle w:val="0"/>
            </w:pPr>
            <w:r>
              <w:rPr>
                <w:sz w:val="24"/>
              </w:rPr>
            </w:r>
          </w:p>
        </w:tc>
      </w:tr>
      <w:tr>
        <w:tc>
          <w:tcPr>
            <w:tcW w:w="964" w:type="dxa"/>
          </w:tcPr>
          <w:p>
            <w:pPr>
              <w:pStyle w:val="0"/>
            </w:pPr>
            <w:r>
              <w:rPr>
                <w:sz w:val="24"/>
              </w:rPr>
            </w:r>
          </w:p>
        </w:tc>
        <w:tc>
          <w:tcPr>
            <w:tcW w:w="566" w:type="dxa"/>
          </w:tcPr>
          <w:p>
            <w:pPr>
              <w:pStyle w:val="0"/>
            </w:pPr>
            <w:r>
              <w:rPr>
                <w:sz w:val="24"/>
              </w:rPr>
            </w:r>
          </w:p>
        </w:tc>
        <w:tc>
          <w:tcPr>
            <w:tcW w:w="963" w:type="dxa"/>
          </w:tcPr>
          <w:p>
            <w:pPr>
              <w:pStyle w:val="0"/>
            </w:pPr>
            <w:r>
              <w:rPr>
                <w:sz w:val="24"/>
              </w:rPr>
            </w:r>
          </w:p>
        </w:tc>
        <w:tc>
          <w:tcPr>
            <w:tcW w:w="964" w:type="dxa"/>
          </w:tcPr>
          <w:p>
            <w:pPr>
              <w:pStyle w:val="0"/>
            </w:pPr>
            <w:r>
              <w:rPr>
                <w:sz w:val="24"/>
              </w:rPr>
            </w:r>
          </w:p>
        </w:tc>
        <w:tc>
          <w:tcPr>
            <w:tcW w:w="907" w:type="dxa"/>
          </w:tcPr>
          <w:p>
            <w:pPr>
              <w:pStyle w:val="0"/>
            </w:pPr>
            <w:r>
              <w:rPr>
                <w:sz w:val="24"/>
              </w:rPr>
            </w:r>
          </w:p>
        </w:tc>
        <w:tc>
          <w:tcPr>
            <w:tcW w:w="964" w:type="dxa"/>
          </w:tcPr>
          <w:p>
            <w:pPr>
              <w:pStyle w:val="0"/>
            </w:pPr>
            <w:r>
              <w:rPr>
                <w:sz w:val="24"/>
              </w:rPr>
            </w:r>
          </w:p>
        </w:tc>
        <w:tc>
          <w:tcPr>
            <w:tcW w:w="907" w:type="dxa"/>
          </w:tcPr>
          <w:p>
            <w:pPr>
              <w:pStyle w:val="0"/>
            </w:pPr>
            <w:r>
              <w:rPr>
                <w:sz w:val="24"/>
              </w:rPr>
            </w:r>
          </w:p>
        </w:tc>
        <w:tc>
          <w:tcPr>
            <w:tcW w:w="1020" w:type="dxa"/>
          </w:tcPr>
          <w:p>
            <w:pPr>
              <w:pStyle w:val="0"/>
            </w:pPr>
            <w:r>
              <w:rPr>
                <w:sz w:val="24"/>
              </w:rPr>
            </w:r>
          </w:p>
        </w:tc>
        <w:tc>
          <w:tcPr>
            <w:tcW w:w="854" w:type="dxa"/>
          </w:tcPr>
          <w:p>
            <w:pPr>
              <w:pStyle w:val="0"/>
            </w:pPr>
            <w:r>
              <w:rPr>
                <w:sz w:val="24"/>
              </w:rPr>
            </w:r>
          </w:p>
        </w:tc>
        <w:tc>
          <w:tcPr>
            <w:tcW w:w="964" w:type="dxa"/>
          </w:tcPr>
          <w:p>
            <w:pPr>
              <w:pStyle w:val="0"/>
            </w:pPr>
            <w:r>
              <w:rPr>
                <w:sz w:val="24"/>
              </w:rPr>
            </w:r>
          </w:p>
        </w:tc>
      </w:tr>
    </w:tbl>
    <w:p>
      <w:pPr>
        <w:pStyle w:val="0"/>
        <w:jc w:val="both"/>
      </w:pPr>
      <w:r>
        <w:rPr>
          <w:sz w:val="24"/>
        </w:rPr>
      </w:r>
    </w:p>
    <w:tbl>
      <w:tblPr>
        <w:tblInd w:w="0" w:type="dxa"/>
        <w:tblLayout w:type="fixed"/>
        <w:tblBorders>
          <w:left w:val="single" w:sz="4"/>
          <w:bottom w:val="single" w:sz="4"/>
          <w:right w:val="single" w:sz="4"/>
          <w:insideV w:val="single" w:sz="4"/>
          <w:insideH w:val="single" w:sz="4"/>
        </w:tblBorders>
        <w:tblCellMar>
          <w:top w:w="102" w:type="dxa"/>
          <w:left w:w="62" w:type="dxa"/>
          <w:bottom w:w="102" w:type="dxa"/>
          <w:right w:w="62" w:type="dxa"/>
        </w:tblCellMar>
      </w:tblPr>
      <w:tblGrid>
        <w:gridCol w:w="964"/>
        <w:gridCol w:w="566"/>
        <w:gridCol w:w="3259"/>
        <w:gridCol w:w="1134"/>
        <w:gridCol w:w="907"/>
        <w:gridCol w:w="737"/>
        <w:gridCol w:w="1531"/>
      </w:tblGrid>
      <w:tr>
        <w:tblPrEx>
          <w:tblBorders>
            <w:left w:val="nil"/>
            <w:right w:val="nil"/>
          </w:tblBorders>
        </w:tblPrEx>
        <w:tc>
          <w:tcPr>
            <w:gridSpan w:val="7"/>
            <w:tcW w:w="9098" w:type="dxa"/>
            <w:tcBorders>
              <w:top w:val="nil"/>
              <w:left w:val="nil"/>
              <w:right w:val="nil"/>
            </w:tcBorders>
          </w:tcPr>
          <w:p>
            <w:pPr>
              <w:pStyle w:val="0"/>
              <w:outlineLvl w:val="3"/>
              <w:ind w:firstLine="283"/>
              <w:jc w:val="both"/>
            </w:pPr>
            <w:r>
              <w:rPr>
                <w:sz w:val="24"/>
              </w:rPr>
              <w:t xml:space="preserve">Скорая медицинская помощь</w:t>
            </w:r>
          </w:p>
        </w:tc>
      </w:tr>
      <w:tr>
        <w:tc>
          <w:tcPr>
            <w:tcW w:w="964" w:type="dxa"/>
          </w:tcPr>
          <w:p>
            <w:pPr>
              <w:pStyle w:val="0"/>
              <w:jc w:val="center"/>
            </w:pPr>
            <w:r>
              <w:rPr>
                <w:sz w:val="24"/>
              </w:rPr>
              <w:t xml:space="preserve">Источник финансового обеспечения</w:t>
            </w:r>
          </w:p>
        </w:tc>
        <w:tc>
          <w:tcPr>
            <w:tcW w:w="566" w:type="dxa"/>
          </w:tcPr>
          <w:p>
            <w:pPr>
              <w:pStyle w:val="0"/>
              <w:jc w:val="center"/>
            </w:pPr>
            <w:r>
              <w:rPr>
                <w:sz w:val="24"/>
              </w:rPr>
              <w:t xml:space="preserve">N пп</w:t>
            </w:r>
          </w:p>
        </w:tc>
        <w:tc>
          <w:tcPr>
            <w:tcW w:w="3259" w:type="dxa"/>
          </w:tcPr>
          <w:p>
            <w:pPr>
              <w:pStyle w:val="0"/>
              <w:jc w:val="center"/>
            </w:pPr>
            <w:r>
              <w:rPr>
                <w:sz w:val="24"/>
              </w:rPr>
              <w:t xml:space="preserve">Наименование показателя</w:t>
            </w:r>
          </w:p>
        </w:tc>
        <w:tc>
          <w:tcPr>
            <w:tcW w:w="1134" w:type="dxa"/>
          </w:tcPr>
          <w:p>
            <w:pPr>
              <w:pStyle w:val="0"/>
              <w:jc w:val="center"/>
            </w:pPr>
            <w:r>
              <w:rPr>
                <w:sz w:val="24"/>
              </w:rPr>
              <w:t xml:space="preserve">Объем медицинской помощи, всего</w:t>
            </w:r>
          </w:p>
        </w:tc>
        <w:tc>
          <w:tcPr>
            <w:tcW w:w="907" w:type="dxa"/>
          </w:tcPr>
          <w:p>
            <w:pPr>
              <w:pStyle w:val="0"/>
              <w:jc w:val="center"/>
            </w:pPr>
            <w:r>
              <w:rPr>
                <w:sz w:val="24"/>
              </w:rPr>
              <w:t xml:space="preserve">Взрослые</w:t>
            </w:r>
          </w:p>
        </w:tc>
        <w:tc>
          <w:tcPr>
            <w:tcW w:w="737" w:type="dxa"/>
          </w:tcPr>
          <w:p>
            <w:pPr>
              <w:pStyle w:val="0"/>
              <w:jc w:val="center"/>
            </w:pPr>
            <w:r>
              <w:rPr>
                <w:sz w:val="24"/>
              </w:rPr>
              <w:t xml:space="preserve">Дети</w:t>
            </w:r>
          </w:p>
        </w:tc>
        <w:tc>
          <w:tcPr>
            <w:tcW w:w="1531" w:type="dxa"/>
          </w:tcPr>
          <w:p>
            <w:pPr>
              <w:pStyle w:val="0"/>
              <w:jc w:val="center"/>
            </w:pPr>
            <w:r>
              <w:rPr>
                <w:sz w:val="24"/>
              </w:rPr>
              <w:t xml:space="preserve">Объем финансового обеспечения медицинской помощи (руб.)</w:t>
            </w:r>
          </w:p>
        </w:tc>
      </w:tr>
      <w:tr>
        <w:tc>
          <w:tcPr>
            <w:tcW w:w="964" w:type="dxa"/>
            <w:vMerge w:val="restart"/>
          </w:tcPr>
          <w:p>
            <w:pPr>
              <w:pStyle w:val="0"/>
            </w:pPr>
            <w:r>
              <w:rPr>
                <w:sz w:val="24"/>
              </w:rPr>
            </w:r>
          </w:p>
        </w:tc>
        <w:tc>
          <w:tcPr>
            <w:tcW w:w="566" w:type="dxa"/>
          </w:tcPr>
          <w:p>
            <w:pPr>
              <w:pStyle w:val="0"/>
            </w:pPr>
            <w:r>
              <w:rPr>
                <w:sz w:val="24"/>
              </w:rPr>
            </w:r>
          </w:p>
        </w:tc>
        <w:tc>
          <w:tcPr>
            <w:tcW w:w="3259" w:type="dxa"/>
            <w:vAlign w:val="center"/>
          </w:tcPr>
          <w:p>
            <w:pPr>
              <w:pStyle w:val="0"/>
              <w:jc w:val="center"/>
            </w:pPr>
            <w:r>
              <w:rPr>
                <w:sz w:val="24"/>
              </w:rPr>
              <w:t xml:space="preserve">Всего</w:t>
            </w:r>
          </w:p>
        </w:tc>
        <w:tc>
          <w:tcPr>
            <w:tcW w:w="1134" w:type="dxa"/>
          </w:tcPr>
          <w:p>
            <w:pPr>
              <w:pStyle w:val="0"/>
            </w:pPr>
            <w:r>
              <w:rPr>
                <w:sz w:val="24"/>
              </w:rPr>
            </w:r>
          </w:p>
        </w:tc>
        <w:tc>
          <w:tcPr>
            <w:tcW w:w="907" w:type="dxa"/>
          </w:tcPr>
          <w:p>
            <w:pPr>
              <w:pStyle w:val="0"/>
            </w:pPr>
            <w:r>
              <w:rPr>
                <w:sz w:val="24"/>
              </w:rPr>
            </w:r>
          </w:p>
        </w:tc>
        <w:tc>
          <w:tcPr>
            <w:tcW w:w="737" w:type="dxa"/>
          </w:tcPr>
          <w:p>
            <w:pPr>
              <w:pStyle w:val="0"/>
            </w:pPr>
            <w:r>
              <w:rPr>
                <w:sz w:val="24"/>
              </w:rPr>
            </w:r>
          </w:p>
        </w:tc>
        <w:tc>
          <w:tcPr>
            <w:tcW w:w="1531" w:type="dxa"/>
          </w:tcPr>
          <w:p>
            <w:pPr>
              <w:pStyle w:val="0"/>
            </w:pPr>
            <w:r>
              <w:rPr>
                <w:sz w:val="24"/>
              </w:rPr>
            </w:r>
          </w:p>
        </w:tc>
      </w:tr>
      <w:tr>
        <w:tc>
          <w:tcPr>
            <w:vMerge w:val="continue"/>
          </w:tcPr>
          <w:p/>
        </w:tc>
        <w:tc>
          <w:tcPr>
            <w:tcW w:w="566" w:type="dxa"/>
          </w:tcPr>
          <w:p>
            <w:pPr>
              <w:pStyle w:val="0"/>
            </w:pPr>
            <w:r>
              <w:rPr>
                <w:sz w:val="24"/>
              </w:rPr>
            </w:r>
          </w:p>
        </w:tc>
        <w:tc>
          <w:tcPr>
            <w:tcW w:w="3259" w:type="dxa"/>
            <w:vAlign w:val="center"/>
          </w:tcPr>
          <w:p>
            <w:pPr>
              <w:pStyle w:val="0"/>
              <w:jc w:val="center"/>
            </w:pPr>
            <w:r>
              <w:rPr>
                <w:sz w:val="24"/>
              </w:rPr>
              <w:t xml:space="preserve">Вызовов по неотложной помощи</w:t>
            </w:r>
          </w:p>
        </w:tc>
        <w:tc>
          <w:tcPr>
            <w:tcW w:w="1134" w:type="dxa"/>
          </w:tcPr>
          <w:p>
            <w:pPr>
              <w:pStyle w:val="0"/>
            </w:pPr>
            <w:r>
              <w:rPr>
                <w:sz w:val="24"/>
              </w:rPr>
            </w:r>
          </w:p>
        </w:tc>
        <w:tc>
          <w:tcPr>
            <w:tcW w:w="907" w:type="dxa"/>
          </w:tcPr>
          <w:p>
            <w:pPr>
              <w:pStyle w:val="0"/>
            </w:pPr>
            <w:r>
              <w:rPr>
                <w:sz w:val="24"/>
              </w:rPr>
            </w:r>
          </w:p>
        </w:tc>
        <w:tc>
          <w:tcPr>
            <w:tcW w:w="737" w:type="dxa"/>
          </w:tcPr>
          <w:p>
            <w:pPr>
              <w:pStyle w:val="0"/>
            </w:pPr>
            <w:r>
              <w:rPr>
                <w:sz w:val="24"/>
              </w:rPr>
            </w:r>
          </w:p>
        </w:tc>
        <w:tc>
          <w:tcPr>
            <w:tcW w:w="1531" w:type="dxa"/>
          </w:tcPr>
          <w:p>
            <w:pPr>
              <w:pStyle w:val="0"/>
            </w:pPr>
            <w:r>
              <w:rPr>
                <w:sz w:val="24"/>
              </w:rPr>
            </w:r>
          </w:p>
        </w:tc>
      </w:tr>
      <w:tr>
        <w:tc>
          <w:tcPr>
            <w:vMerge w:val="continue"/>
          </w:tcPr>
          <w:p/>
        </w:tc>
        <w:tc>
          <w:tcPr>
            <w:tcW w:w="566" w:type="dxa"/>
          </w:tcPr>
          <w:p>
            <w:pPr>
              <w:pStyle w:val="0"/>
            </w:pPr>
            <w:r>
              <w:rPr>
                <w:sz w:val="24"/>
              </w:rPr>
            </w:r>
          </w:p>
        </w:tc>
        <w:tc>
          <w:tcPr>
            <w:tcW w:w="3259" w:type="dxa"/>
            <w:vAlign w:val="center"/>
          </w:tcPr>
          <w:p>
            <w:pPr>
              <w:pStyle w:val="0"/>
              <w:jc w:val="center"/>
            </w:pPr>
            <w:r>
              <w:rPr>
                <w:sz w:val="24"/>
              </w:rPr>
              <w:t xml:space="preserve">Вызовов скорой помощи - всего, в том числе:</w:t>
            </w:r>
          </w:p>
        </w:tc>
        <w:tc>
          <w:tcPr>
            <w:tcW w:w="1134" w:type="dxa"/>
          </w:tcPr>
          <w:p>
            <w:pPr>
              <w:pStyle w:val="0"/>
            </w:pPr>
            <w:r>
              <w:rPr>
                <w:sz w:val="24"/>
              </w:rPr>
            </w:r>
          </w:p>
        </w:tc>
        <w:tc>
          <w:tcPr>
            <w:tcW w:w="907" w:type="dxa"/>
          </w:tcPr>
          <w:p>
            <w:pPr>
              <w:pStyle w:val="0"/>
            </w:pPr>
            <w:r>
              <w:rPr>
                <w:sz w:val="24"/>
              </w:rPr>
            </w:r>
          </w:p>
        </w:tc>
        <w:tc>
          <w:tcPr>
            <w:tcW w:w="737" w:type="dxa"/>
          </w:tcPr>
          <w:p>
            <w:pPr>
              <w:pStyle w:val="0"/>
            </w:pPr>
            <w:r>
              <w:rPr>
                <w:sz w:val="24"/>
              </w:rPr>
            </w:r>
          </w:p>
        </w:tc>
        <w:tc>
          <w:tcPr>
            <w:tcW w:w="1531" w:type="dxa"/>
          </w:tcPr>
          <w:p>
            <w:pPr>
              <w:pStyle w:val="0"/>
            </w:pPr>
            <w:r>
              <w:rPr>
                <w:sz w:val="24"/>
              </w:rPr>
            </w:r>
          </w:p>
        </w:tc>
      </w:tr>
      <w:tr>
        <w:tc>
          <w:tcPr>
            <w:vMerge w:val="continue"/>
          </w:tcPr>
          <w:p/>
        </w:tc>
        <w:tc>
          <w:tcPr>
            <w:tcW w:w="566" w:type="dxa"/>
          </w:tcPr>
          <w:p>
            <w:pPr>
              <w:pStyle w:val="0"/>
            </w:pPr>
            <w:r>
              <w:rPr>
                <w:sz w:val="24"/>
              </w:rPr>
            </w:r>
          </w:p>
        </w:tc>
        <w:tc>
          <w:tcPr>
            <w:tcW w:w="3259" w:type="dxa"/>
            <w:vAlign w:val="center"/>
          </w:tcPr>
          <w:p>
            <w:pPr>
              <w:pStyle w:val="0"/>
              <w:jc w:val="center"/>
            </w:pPr>
            <w:r>
              <w:rPr>
                <w:sz w:val="24"/>
              </w:rPr>
              <w:t xml:space="preserve">Вызовы скорой специализированной помощи</w:t>
            </w:r>
          </w:p>
        </w:tc>
        <w:tc>
          <w:tcPr>
            <w:tcW w:w="1134" w:type="dxa"/>
          </w:tcPr>
          <w:p>
            <w:pPr>
              <w:pStyle w:val="0"/>
            </w:pPr>
            <w:r>
              <w:rPr>
                <w:sz w:val="24"/>
              </w:rPr>
            </w:r>
          </w:p>
        </w:tc>
        <w:tc>
          <w:tcPr>
            <w:tcW w:w="907" w:type="dxa"/>
          </w:tcPr>
          <w:p>
            <w:pPr>
              <w:pStyle w:val="0"/>
            </w:pPr>
            <w:r>
              <w:rPr>
                <w:sz w:val="24"/>
              </w:rPr>
            </w:r>
          </w:p>
        </w:tc>
        <w:tc>
          <w:tcPr>
            <w:tcW w:w="737" w:type="dxa"/>
          </w:tcPr>
          <w:p>
            <w:pPr>
              <w:pStyle w:val="0"/>
            </w:pPr>
            <w:r>
              <w:rPr>
                <w:sz w:val="24"/>
              </w:rPr>
            </w:r>
          </w:p>
        </w:tc>
        <w:tc>
          <w:tcPr>
            <w:tcW w:w="1531" w:type="dxa"/>
          </w:tcPr>
          <w:p>
            <w:pPr>
              <w:pStyle w:val="0"/>
            </w:pPr>
            <w:r>
              <w:rPr>
                <w:sz w:val="24"/>
              </w:rPr>
            </w:r>
          </w:p>
        </w:tc>
      </w:tr>
      <w:tr>
        <w:tc>
          <w:tcPr>
            <w:vMerge w:val="continue"/>
          </w:tcPr>
          <w:p/>
        </w:tc>
        <w:tc>
          <w:tcPr>
            <w:tcW w:w="566" w:type="dxa"/>
          </w:tcPr>
          <w:p>
            <w:pPr>
              <w:pStyle w:val="0"/>
            </w:pPr>
            <w:r>
              <w:rPr>
                <w:sz w:val="24"/>
              </w:rPr>
            </w:r>
          </w:p>
        </w:tc>
        <w:tc>
          <w:tcPr>
            <w:tcW w:w="3259" w:type="dxa"/>
            <w:vAlign w:val="center"/>
          </w:tcPr>
          <w:p>
            <w:pPr>
              <w:pStyle w:val="0"/>
              <w:jc w:val="center"/>
            </w:pPr>
            <w:r>
              <w:rPr>
                <w:sz w:val="24"/>
              </w:rPr>
              <w:t xml:space="preserve">Медицинская транспортировка</w:t>
            </w:r>
          </w:p>
        </w:tc>
        <w:tc>
          <w:tcPr>
            <w:tcW w:w="1134" w:type="dxa"/>
          </w:tcPr>
          <w:p>
            <w:pPr>
              <w:pStyle w:val="0"/>
            </w:pPr>
            <w:r>
              <w:rPr>
                <w:sz w:val="24"/>
              </w:rPr>
            </w:r>
          </w:p>
        </w:tc>
        <w:tc>
          <w:tcPr>
            <w:tcW w:w="907" w:type="dxa"/>
          </w:tcPr>
          <w:p>
            <w:pPr>
              <w:pStyle w:val="0"/>
            </w:pPr>
            <w:r>
              <w:rPr>
                <w:sz w:val="24"/>
              </w:rPr>
            </w:r>
          </w:p>
        </w:tc>
        <w:tc>
          <w:tcPr>
            <w:tcW w:w="737" w:type="dxa"/>
          </w:tcPr>
          <w:p>
            <w:pPr>
              <w:pStyle w:val="0"/>
            </w:pPr>
            <w:r>
              <w:rPr>
                <w:sz w:val="24"/>
              </w:rPr>
            </w:r>
          </w:p>
        </w:tc>
        <w:tc>
          <w:tcPr>
            <w:tcW w:w="1531" w:type="dxa"/>
          </w:tcPr>
          <w:p>
            <w:pPr>
              <w:pStyle w:val="0"/>
            </w:pPr>
            <w:r>
              <w:rPr>
                <w:sz w:val="24"/>
              </w:rPr>
            </w:r>
          </w:p>
        </w:tc>
      </w:tr>
      <w:tr>
        <w:tc>
          <w:tcPr>
            <w:vMerge w:val="continue"/>
          </w:tcPr>
          <w:p/>
        </w:tc>
        <w:tc>
          <w:tcPr>
            <w:tcW w:w="566" w:type="dxa"/>
          </w:tcPr>
          <w:p>
            <w:pPr>
              <w:pStyle w:val="0"/>
            </w:pPr>
            <w:r>
              <w:rPr>
                <w:sz w:val="24"/>
              </w:rPr>
            </w:r>
          </w:p>
        </w:tc>
        <w:tc>
          <w:tcPr>
            <w:tcW w:w="3259" w:type="dxa"/>
            <w:vAlign w:val="center"/>
          </w:tcPr>
          <w:p>
            <w:pPr>
              <w:pStyle w:val="0"/>
              <w:jc w:val="center"/>
            </w:pPr>
            <w:r>
              <w:rPr>
                <w:sz w:val="24"/>
              </w:rPr>
              <w:t xml:space="preserve">Иные вызовы скорой помощи</w:t>
            </w:r>
          </w:p>
        </w:tc>
        <w:tc>
          <w:tcPr>
            <w:tcW w:w="1134" w:type="dxa"/>
          </w:tcPr>
          <w:p>
            <w:pPr>
              <w:pStyle w:val="0"/>
            </w:pPr>
            <w:r>
              <w:rPr>
                <w:sz w:val="24"/>
              </w:rPr>
            </w:r>
          </w:p>
        </w:tc>
        <w:tc>
          <w:tcPr>
            <w:tcW w:w="907" w:type="dxa"/>
          </w:tcPr>
          <w:p>
            <w:pPr>
              <w:pStyle w:val="0"/>
            </w:pPr>
            <w:r>
              <w:rPr>
                <w:sz w:val="24"/>
              </w:rPr>
            </w:r>
          </w:p>
        </w:tc>
        <w:tc>
          <w:tcPr>
            <w:tcW w:w="737" w:type="dxa"/>
          </w:tcPr>
          <w:p>
            <w:pPr>
              <w:pStyle w:val="0"/>
            </w:pPr>
            <w:r>
              <w:rPr>
                <w:sz w:val="24"/>
              </w:rPr>
            </w:r>
          </w:p>
        </w:tc>
        <w:tc>
          <w:tcPr>
            <w:tcW w:w="1531" w:type="dxa"/>
          </w:tcPr>
          <w:p>
            <w:pPr>
              <w:pStyle w:val="0"/>
            </w:pPr>
            <w:r>
              <w:rPr>
                <w:sz w:val="24"/>
              </w:rPr>
            </w:r>
          </w:p>
        </w:tc>
      </w:tr>
      <w:tr>
        <w:tc>
          <w:tcPr>
            <w:tcW w:w="964" w:type="dxa"/>
            <w:vMerge w:val="restart"/>
          </w:tcPr>
          <w:p>
            <w:pPr>
              <w:pStyle w:val="0"/>
            </w:pPr>
            <w:r>
              <w:rPr>
                <w:sz w:val="24"/>
              </w:rPr>
            </w:r>
          </w:p>
        </w:tc>
        <w:tc>
          <w:tcPr>
            <w:tcW w:w="566" w:type="dxa"/>
          </w:tcPr>
          <w:p>
            <w:pPr>
              <w:pStyle w:val="0"/>
            </w:pPr>
            <w:r>
              <w:rPr>
                <w:sz w:val="24"/>
              </w:rPr>
            </w:r>
          </w:p>
        </w:tc>
        <w:tc>
          <w:tcPr>
            <w:tcW w:w="3259" w:type="dxa"/>
            <w:vAlign w:val="center"/>
          </w:tcPr>
          <w:p>
            <w:pPr>
              <w:pStyle w:val="0"/>
              <w:jc w:val="center"/>
            </w:pPr>
            <w:r>
              <w:rPr>
                <w:sz w:val="24"/>
              </w:rPr>
              <w:t xml:space="preserve">Всего</w:t>
            </w:r>
          </w:p>
        </w:tc>
        <w:tc>
          <w:tcPr>
            <w:tcW w:w="1134" w:type="dxa"/>
          </w:tcPr>
          <w:p>
            <w:pPr>
              <w:pStyle w:val="0"/>
            </w:pPr>
            <w:r>
              <w:rPr>
                <w:sz w:val="24"/>
              </w:rPr>
            </w:r>
          </w:p>
        </w:tc>
        <w:tc>
          <w:tcPr>
            <w:tcW w:w="907" w:type="dxa"/>
          </w:tcPr>
          <w:p>
            <w:pPr>
              <w:pStyle w:val="0"/>
            </w:pPr>
            <w:r>
              <w:rPr>
                <w:sz w:val="24"/>
              </w:rPr>
            </w:r>
          </w:p>
        </w:tc>
        <w:tc>
          <w:tcPr>
            <w:tcW w:w="737" w:type="dxa"/>
          </w:tcPr>
          <w:p>
            <w:pPr>
              <w:pStyle w:val="0"/>
            </w:pPr>
            <w:r>
              <w:rPr>
                <w:sz w:val="24"/>
              </w:rPr>
            </w:r>
          </w:p>
        </w:tc>
        <w:tc>
          <w:tcPr>
            <w:tcW w:w="1531" w:type="dxa"/>
          </w:tcPr>
          <w:p>
            <w:pPr>
              <w:pStyle w:val="0"/>
            </w:pPr>
            <w:r>
              <w:rPr>
                <w:sz w:val="24"/>
              </w:rPr>
            </w:r>
          </w:p>
        </w:tc>
      </w:tr>
      <w:tr>
        <w:tc>
          <w:tcPr>
            <w:vMerge w:val="continue"/>
          </w:tcPr>
          <w:p/>
        </w:tc>
        <w:tc>
          <w:tcPr>
            <w:tcW w:w="566" w:type="dxa"/>
          </w:tcPr>
          <w:p>
            <w:pPr>
              <w:pStyle w:val="0"/>
            </w:pPr>
            <w:r>
              <w:rPr>
                <w:sz w:val="24"/>
              </w:rPr>
            </w:r>
          </w:p>
        </w:tc>
        <w:tc>
          <w:tcPr>
            <w:tcW w:w="3259" w:type="dxa"/>
            <w:vAlign w:val="center"/>
          </w:tcPr>
          <w:p>
            <w:pPr>
              <w:pStyle w:val="0"/>
              <w:jc w:val="center"/>
            </w:pPr>
            <w:r>
              <w:rPr>
                <w:sz w:val="24"/>
              </w:rPr>
              <w:t xml:space="preserve">Вызовов по неотложной помощи</w:t>
            </w:r>
          </w:p>
        </w:tc>
        <w:tc>
          <w:tcPr>
            <w:tcW w:w="1134" w:type="dxa"/>
          </w:tcPr>
          <w:p>
            <w:pPr>
              <w:pStyle w:val="0"/>
            </w:pPr>
            <w:r>
              <w:rPr>
                <w:sz w:val="24"/>
              </w:rPr>
            </w:r>
          </w:p>
        </w:tc>
        <w:tc>
          <w:tcPr>
            <w:tcW w:w="907" w:type="dxa"/>
          </w:tcPr>
          <w:p>
            <w:pPr>
              <w:pStyle w:val="0"/>
            </w:pPr>
            <w:r>
              <w:rPr>
                <w:sz w:val="24"/>
              </w:rPr>
            </w:r>
          </w:p>
        </w:tc>
        <w:tc>
          <w:tcPr>
            <w:tcW w:w="737" w:type="dxa"/>
          </w:tcPr>
          <w:p>
            <w:pPr>
              <w:pStyle w:val="0"/>
            </w:pPr>
            <w:r>
              <w:rPr>
                <w:sz w:val="24"/>
              </w:rPr>
            </w:r>
          </w:p>
        </w:tc>
        <w:tc>
          <w:tcPr>
            <w:tcW w:w="1531" w:type="dxa"/>
          </w:tcPr>
          <w:p>
            <w:pPr>
              <w:pStyle w:val="0"/>
            </w:pPr>
            <w:r>
              <w:rPr>
                <w:sz w:val="24"/>
              </w:rPr>
            </w:r>
          </w:p>
        </w:tc>
      </w:tr>
      <w:tr>
        <w:tc>
          <w:tcPr>
            <w:vMerge w:val="continue"/>
          </w:tcPr>
          <w:p/>
        </w:tc>
        <w:tc>
          <w:tcPr>
            <w:tcW w:w="566" w:type="dxa"/>
          </w:tcPr>
          <w:p>
            <w:pPr>
              <w:pStyle w:val="0"/>
            </w:pPr>
            <w:r>
              <w:rPr>
                <w:sz w:val="24"/>
              </w:rPr>
            </w:r>
          </w:p>
        </w:tc>
        <w:tc>
          <w:tcPr>
            <w:tcW w:w="3259" w:type="dxa"/>
            <w:vAlign w:val="center"/>
          </w:tcPr>
          <w:p>
            <w:pPr>
              <w:pStyle w:val="0"/>
              <w:jc w:val="center"/>
            </w:pPr>
            <w:r>
              <w:rPr>
                <w:sz w:val="24"/>
              </w:rPr>
              <w:t xml:space="preserve">Вызовов скорой помощи - всего, в том числе:</w:t>
            </w:r>
          </w:p>
        </w:tc>
        <w:tc>
          <w:tcPr>
            <w:tcW w:w="1134" w:type="dxa"/>
          </w:tcPr>
          <w:p>
            <w:pPr>
              <w:pStyle w:val="0"/>
            </w:pPr>
            <w:r>
              <w:rPr>
                <w:sz w:val="24"/>
              </w:rPr>
            </w:r>
          </w:p>
        </w:tc>
        <w:tc>
          <w:tcPr>
            <w:tcW w:w="907" w:type="dxa"/>
          </w:tcPr>
          <w:p>
            <w:pPr>
              <w:pStyle w:val="0"/>
            </w:pPr>
            <w:r>
              <w:rPr>
                <w:sz w:val="24"/>
              </w:rPr>
            </w:r>
          </w:p>
        </w:tc>
        <w:tc>
          <w:tcPr>
            <w:tcW w:w="737" w:type="dxa"/>
          </w:tcPr>
          <w:p>
            <w:pPr>
              <w:pStyle w:val="0"/>
            </w:pPr>
            <w:r>
              <w:rPr>
                <w:sz w:val="24"/>
              </w:rPr>
            </w:r>
          </w:p>
        </w:tc>
        <w:tc>
          <w:tcPr>
            <w:tcW w:w="1531" w:type="dxa"/>
          </w:tcPr>
          <w:p>
            <w:pPr>
              <w:pStyle w:val="0"/>
            </w:pPr>
            <w:r>
              <w:rPr>
                <w:sz w:val="24"/>
              </w:rPr>
            </w:r>
          </w:p>
        </w:tc>
      </w:tr>
      <w:tr>
        <w:tc>
          <w:tcPr>
            <w:vMerge w:val="continue"/>
          </w:tcPr>
          <w:p/>
        </w:tc>
        <w:tc>
          <w:tcPr>
            <w:tcW w:w="566" w:type="dxa"/>
          </w:tcPr>
          <w:p>
            <w:pPr>
              <w:pStyle w:val="0"/>
            </w:pPr>
            <w:r>
              <w:rPr>
                <w:sz w:val="24"/>
              </w:rPr>
            </w:r>
          </w:p>
        </w:tc>
        <w:tc>
          <w:tcPr>
            <w:tcW w:w="3259" w:type="dxa"/>
            <w:vAlign w:val="center"/>
          </w:tcPr>
          <w:p>
            <w:pPr>
              <w:pStyle w:val="0"/>
              <w:jc w:val="center"/>
            </w:pPr>
            <w:r>
              <w:rPr>
                <w:sz w:val="24"/>
              </w:rPr>
              <w:t xml:space="preserve">Вызовы скорой специализированной помощи</w:t>
            </w:r>
          </w:p>
        </w:tc>
        <w:tc>
          <w:tcPr>
            <w:tcW w:w="1134" w:type="dxa"/>
          </w:tcPr>
          <w:p>
            <w:pPr>
              <w:pStyle w:val="0"/>
            </w:pPr>
            <w:r>
              <w:rPr>
                <w:sz w:val="24"/>
              </w:rPr>
            </w:r>
          </w:p>
        </w:tc>
        <w:tc>
          <w:tcPr>
            <w:tcW w:w="907" w:type="dxa"/>
          </w:tcPr>
          <w:p>
            <w:pPr>
              <w:pStyle w:val="0"/>
            </w:pPr>
            <w:r>
              <w:rPr>
                <w:sz w:val="24"/>
              </w:rPr>
            </w:r>
          </w:p>
        </w:tc>
        <w:tc>
          <w:tcPr>
            <w:tcW w:w="737" w:type="dxa"/>
          </w:tcPr>
          <w:p>
            <w:pPr>
              <w:pStyle w:val="0"/>
            </w:pPr>
            <w:r>
              <w:rPr>
                <w:sz w:val="24"/>
              </w:rPr>
            </w:r>
          </w:p>
        </w:tc>
        <w:tc>
          <w:tcPr>
            <w:tcW w:w="1531" w:type="dxa"/>
          </w:tcPr>
          <w:p>
            <w:pPr>
              <w:pStyle w:val="0"/>
            </w:pPr>
            <w:r>
              <w:rPr>
                <w:sz w:val="24"/>
              </w:rPr>
            </w:r>
          </w:p>
        </w:tc>
      </w:tr>
      <w:tr>
        <w:tc>
          <w:tcPr>
            <w:vMerge w:val="continue"/>
          </w:tcPr>
          <w:p/>
        </w:tc>
        <w:tc>
          <w:tcPr>
            <w:tcW w:w="566" w:type="dxa"/>
          </w:tcPr>
          <w:p>
            <w:pPr>
              <w:pStyle w:val="0"/>
            </w:pPr>
            <w:r>
              <w:rPr>
                <w:sz w:val="24"/>
              </w:rPr>
            </w:r>
          </w:p>
        </w:tc>
        <w:tc>
          <w:tcPr>
            <w:tcW w:w="3259" w:type="dxa"/>
            <w:vAlign w:val="center"/>
          </w:tcPr>
          <w:p>
            <w:pPr>
              <w:pStyle w:val="0"/>
              <w:jc w:val="center"/>
            </w:pPr>
            <w:r>
              <w:rPr>
                <w:sz w:val="24"/>
              </w:rPr>
              <w:t xml:space="preserve">Медицинская транспортировка</w:t>
            </w:r>
          </w:p>
        </w:tc>
        <w:tc>
          <w:tcPr>
            <w:tcW w:w="1134" w:type="dxa"/>
          </w:tcPr>
          <w:p>
            <w:pPr>
              <w:pStyle w:val="0"/>
            </w:pPr>
            <w:r>
              <w:rPr>
                <w:sz w:val="24"/>
              </w:rPr>
            </w:r>
          </w:p>
        </w:tc>
        <w:tc>
          <w:tcPr>
            <w:tcW w:w="907" w:type="dxa"/>
          </w:tcPr>
          <w:p>
            <w:pPr>
              <w:pStyle w:val="0"/>
            </w:pPr>
            <w:r>
              <w:rPr>
                <w:sz w:val="24"/>
              </w:rPr>
            </w:r>
          </w:p>
        </w:tc>
        <w:tc>
          <w:tcPr>
            <w:tcW w:w="737" w:type="dxa"/>
          </w:tcPr>
          <w:p>
            <w:pPr>
              <w:pStyle w:val="0"/>
            </w:pPr>
            <w:r>
              <w:rPr>
                <w:sz w:val="24"/>
              </w:rPr>
            </w:r>
          </w:p>
        </w:tc>
        <w:tc>
          <w:tcPr>
            <w:tcW w:w="1531" w:type="dxa"/>
          </w:tcPr>
          <w:p>
            <w:pPr>
              <w:pStyle w:val="0"/>
            </w:pPr>
            <w:r>
              <w:rPr>
                <w:sz w:val="24"/>
              </w:rPr>
            </w:r>
          </w:p>
        </w:tc>
      </w:tr>
      <w:tr>
        <w:tc>
          <w:tcPr>
            <w:vMerge w:val="continue"/>
          </w:tcPr>
          <w:p/>
        </w:tc>
        <w:tc>
          <w:tcPr>
            <w:tcW w:w="566" w:type="dxa"/>
          </w:tcPr>
          <w:p>
            <w:pPr>
              <w:pStyle w:val="0"/>
            </w:pPr>
            <w:r>
              <w:rPr>
                <w:sz w:val="24"/>
              </w:rPr>
            </w:r>
          </w:p>
        </w:tc>
        <w:tc>
          <w:tcPr>
            <w:tcW w:w="3259" w:type="dxa"/>
            <w:vAlign w:val="center"/>
          </w:tcPr>
          <w:p>
            <w:pPr>
              <w:pStyle w:val="0"/>
              <w:jc w:val="center"/>
            </w:pPr>
            <w:r>
              <w:rPr>
                <w:sz w:val="24"/>
              </w:rPr>
              <w:t xml:space="preserve">Иные вызовы скорой помощи</w:t>
            </w:r>
          </w:p>
        </w:tc>
        <w:tc>
          <w:tcPr>
            <w:tcW w:w="1134" w:type="dxa"/>
          </w:tcPr>
          <w:p>
            <w:pPr>
              <w:pStyle w:val="0"/>
            </w:pPr>
            <w:r>
              <w:rPr>
                <w:sz w:val="24"/>
              </w:rPr>
            </w:r>
          </w:p>
        </w:tc>
        <w:tc>
          <w:tcPr>
            <w:tcW w:w="907" w:type="dxa"/>
          </w:tcPr>
          <w:p>
            <w:pPr>
              <w:pStyle w:val="0"/>
            </w:pPr>
            <w:r>
              <w:rPr>
                <w:sz w:val="24"/>
              </w:rPr>
            </w:r>
          </w:p>
        </w:tc>
        <w:tc>
          <w:tcPr>
            <w:tcW w:w="737" w:type="dxa"/>
          </w:tcPr>
          <w:p>
            <w:pPr>
              <w:pStyle w:val="0"/>
            </w:pPr>
            <w:r>
              <w:rPr>
                <w:sz w:val="24"/>
              </w:rPr>
            </w:r>
          </w:p>
        </w:tc>
        <w:tc>
          <w:tcPr>
            <w:tcW w:w="1531" w:type="dxa"/>
          </w:tcPr>
          <w:p>
            <w:pPr>
              <w:pStyle w:val="0"/>
            </w:pPr>
            <w:r>
              <w:rPr>
                <w:sz w:val="24"/>
              </w:rPr>
            </w:r>
          </w:p>
        </w:tc>
      </w:tr>
      <w:tr>
        <w:tc>
          <w:tcPr>
            <w:tcW w:w="964" w:type="dxa"/>
            <w:vMerge w:val="restart"/>
          </w:tcPr>
          <w:p>
            <w:pPr>
              <w:pStyle w:val="0"/>
            </w:pPr>
            <w:r>
              <w:rPr>
                <w:sz w:val="24"/>
              </w:rPr>
            </w:r>
          </w:p>
        </w:tc>
        <w:tc>
          <w:tcPr>
            <w:tcW w:w="566" w:type="dxa"/>
          </w:tcPr>
          <w:p>
            <w:pPr>
              <w:pStyle w:val="0"/>
            </w:pPr>
            <w:r>
              <w:rPr>
                <w:sz w:val="24"/>
              </w:rPr>
            </w:r>
          </w:p>
        </w:tc>
        <w:tc>
          <w:tcPr>
            <w:tcW w:w="3259" w:type="dxa"/>
            <w:vAlign w:val="center"/>
          </w:tcPr>
          <w:p>
            <w:pPr>
              <w:pStyle w:val="0"/>
              <w:jc w:val="center"/>
            </w:pPr>
            <w:r>
              <w:rPr>
                <w:sz w:val="24"/>
              </w:rPr>
              <w:t xml:space="preserve">Всего</w:t>
            </w:r>
          </w:p>
        </w:tc>
        <w:tc>
          <w:tcPr>
            <w:tcW w:w="1134" w:type="dxa"/>
          </w:tcPr>
          <w:p>
            <w:pPr>
              <w:pStyle w:val="0"/>
            </w:pPr>
            <w:r>
              <w:rPr>
                <w:sz w:val="24"/>
              </w:rPr>
            </w:r>
          </w:p>
        </w:tc>
        <w:tc>
          <w:tcPr>
            <w:tcW w:w="907" w:type="dxa"/>
          </w:tcPr>
          <w:p>
            <w:pPr>
              <w:pStyle w:val="0"/>
            </w:pPr>
            <w:r>
              <w:rPr>
                <w:sz w:val="24"/>
              </w:rPr>
            </w:r>
          </w:p>
        </w:tc>
        <w:tc>
          <w:tcPr>
            <w:tcW w:w="737" w:type="dxa"/>
          </w:tcPr>
          <w:p>
            <w:pPr>
              <w:pStyle w:val="0"/>
            </w:pPr>
            <w:r>
              <w:rPr>
                <w:sz w:val="24"/>
              </w:rPr>
            </w:r>
          </w:p>
        </w:tc>
        <w:tc>
          <w:tcPr>
            <w:tcW w:w="1531" w:type="dxa"/>
          </w:tcPr>
          <w:p>
            <w:pPr>
              <w:pStyle w:val="0"/>
            </w:pPr>
            <w:r>
              <w:rPr>
                <w:sz w:val="24"/>
              </w:rPr>
            </w:r>
          </w:p>
        </w:tc>
      </w:tr>
      <w:tr>
        <w:tc>
          <w:tcPr>
            <w:vMerge w:val="continue"/>
          </w:tcPr>
          <w:p/>
        </w:tc>
        <w:tc>
          <w:tcPr>
            <w:tcW w:w="566" w:type="dxa"/>
          </w:tcPr>
          <w:p>
            <w:pPr>
              <w:pStyle w:val="0"/>
            </w:pPr>
            <w:r>
              <w:rPr>
                <w:sz w:val="24"/>
              </w:rPr>
            </w:r>
          </w:p>
        </w:tc>
        <w:tc>
          <w:tcPr>
            <w:tcW w:w="3259" w:type="dxa"/>
            <w:vAlign w:val="center"/>
          </w:tcPr>
          <w:p>
            <w:pPr>
              <w:pStyle w:val="0"/>
              <w:jc w:val="center"/>
            </w:pPr>
            <w:r>
              <w:rPr>
                <w:sz w:val="24"/>
              </w:rPr>
              <w:t xml:space="preserve">Вызовов по неотложной помощи</w:t>
            </w:r>
          </w:p>
        </w:tc>
        <w:tc>
          <w:tcPr>
            <w:tcW w:w="1134" w:type="dxa"/>
          </w:tcPr>
          <w:p>
            <w:pPr>
              <w:pStyle w:val="0"/>
            </w:pPr>
            <w:r>
              <w:rPr>
                <w:sz w:val="24"/>
              </w:rPr>
            </w:r>
          </w:p>
        </w:tc>
        <w:tc>
          <w:tcPr>
            <w:tcW w:w="907" w:type="dxa"/>
          </w:tcPr>
          <w:p>
            <w:pPr>
              <w:pStyle w:val="0"/>
            </w:pPr>
            <w:r>
              <w:rPr>
                <w:sz w:val="24"/>
              </w:rPr>
            </w:r>
          </w:p>
        </w:tc>
        <w:tc>
          <w:tcPr>
            <w:tcW w:w="737" w:type="dxa"/>
          </w:tcPr>
          <w:p>
            <w:pPr>
              <w:pStyle w:val="0"/>
            </w:pPr>
            <w:r>
              <w:rPr>
                <w:sz w:val="24"/>
              </w:rPr>
            </w:r>
          </w:p>
        </w:tc>
        <w:tc>
          <w:tcPr>
            <w:tcW w:w="1531" w:type="dxa"/>
          </w:tcPr>
          <w:p>
            <w:pPr>
              <w:pStyle w:val="0"/>
            </w:pPr>
            <w:r>
              <w:rPr>
                <w:sz w:val="24"/>
              </w:rPr>
            </w:r>
          </w:p>
        </w:tc>
      </w:tr>
      <w:tr>
        <w:tc>
          <w:tcPr>
            <w:vMerge w:val="continue"/>
          </w:tcPr>
          <w:p/>
        </w:tc>
        <w:tc>
          <w:tcPr>
            <w:tcW w:w="566" w:type="dxa"/>
          </w:tcPr>
          <w:p>
            <w:pPr>
              <w:pStyle w:val="0"/>
            </w:pPr>
            <w:r>
              <w:rPr>
                <w:sz w:val="24"/>
              </w:rPr>
            </w:r>
          </w:p>
        </w:tc>
        <w:tc>
          <w:tcPr>
            <w:tcW w:w="3259" w:type="dxa"/>
            <w:vAlign w:val="center"/>
          </w:tcPr>
          <w:p>
            <w:pPr>
              <w:pStyle w:val="0"/>
              <w:jc w:val="center"/>
            </w:pPr>
            <w:r>
              <w:rPr>
                <w:sz w:val="24"/>
              </w:rPr>
              <w:t xml:space="preserve">Вызовов скорой помощи - всего, в том числе:</w:t>
            </w:r>
          </w:p>
        </w:tc>
        <w:tc>
          <w:tcPr>
            <w:tcW w:w="1134" w:type="dxa"/>
          </w:tcPr>
          <w:p>
            <w:pPr>
              <w:pStyle w:val="0"/>
            </w:pPr>
            <w:r>
              <w:rPr>
                <w:sz w:val="24"/>
              </w:rPr>
            </w:r>
          </w:p>
        </w:tc>
        <w:tc>
          <w:tcPr>
            <w:tcW w:w="907" w:type="dxa"/>
          </w:tcPr>
          <w:p>
            <w:pPr>
              <w:pStyle w:val="0"/>
            </w:pPr>
            <w:r>
              <w:rPr>
                <w:sz w:val="24"/>
              </w:rPr>
            </w:r>
          </w:p>
        </w:tc>
        <w:tc>
          <w:tcPr>
            <w:tcW w:w="737" w:type="dxa"/>
          </w:tcPr>
          <w:p>
            <w:pPr>
              <w:pStyle w:val="0"/>
            </w:pPr>
            <w:r>
              <w:rPr>
                <w:sz w:val="24"/>
              </w:rPr>
            </w:r>
          </w:p>
        </w:tc>
        <w:tc>
          <w:tcPr>
            <w:tcW w:w="1531" w:type="dxa"/>
          </w:tcPr>
          <w:p>
            <w:pPr>
              <w:pStyle w:val="0"/>
            </w:pPr>
            <w:r>
              <w:rPr>
                <w:sz w:val="24"/>
              </w:rPr>
            </w:r>
          </w:p>
        </w:tc>
      </w:tr>
      <w:tr>
        <w:tc>
          <w:tcPr>
            <w:vMerge w:val="continue"/>
          </w:tcPr>
          <w:p/>
        </w:tc>
        <w:tc>
          <w:tcPr>
            <w:tcW w:w="566" w:type="dxa"/>
          </w:tcPr>
          <w:p>
            <w:pPr>
              <w:pStyle w:val="0"/>
            </w:pPr>
            <w:r>
              <w:rPr>
                <w:sz w:val="24"/>
              </w:rPr>
            </w:r>
          </w:p>
        </w:tc>
        <w:tc>
          <w:tcPr>
            <w:tcW w:w="3259" w:type="dxa"/>
            <w:vAlign w:val="center"/>
          </w:tcPr>
          <w:p>
            <w:pPr>
              <w:pStyle w:val="0"/>
              <w:jc w:val="center"/>
            </w:pPr>
            <w:r>
              <w:rPr>
                <w:sz w:val="24"/>
              </w:rPr>
              <w:t xml:space="preserve">Вызовы скорой специализированной помощи</w:t>
            </w:r>
          </w:p>
        </w:tc>
        <w:tc>
          <w:tcPr>
            <w:tcW w:w="1134" w:type="dxa"/>
          </w:tcPr>
          <w:p>
            <w:pPr>
              <w:pStyle w:val="0"/>
            </w:pPr>
            <w:r>
              <w:rPr>
                <w:sz w:val="24"/>
              </w:rPr>
            </w:r>
          </w:p>
        </w:tc>
        <w:tc>
          <w:tcPr>
            <w:tcW w:w="907" w:type="dxa"/>
          </w:tcPr>
          <w:p>
            <w:pPr>
              <w:pStyle w:val="0"/>
            </w:pPr>
            <w:r>
              <w:rPr>
                <w:sz w:val="24"/>
              </w:rPr>
            </w:r>
          </w:p>
        </w:tc>
        <w:tc>
          <w:tcPr>
            <w:tcW w:w="737" w:type="dxa"/>
          </w:tcPr>
          <w:p>
            <w:pPr>
              <w:pStyle w:val="0"/>
            </w:pPr>
            <w:r>
              <w:rPr>
                <w:sz w:val="24"/>
              </w:rPr>
            </w:r>
          </w:p>
        </w:tc>
        <w:tc>
          <w:tcPr>
            <w:tcW w:w="1531" w:type="dxa"/>
          </w:tcPr>
          <w:p>
            <w:pPr>
              <w:pStyle w:val="0"/>
            </w:pPr>
            <w:r>
              <w:rPr>
                <w:sz w:val="24"/>
              </w:rPr>
            </w:r>
          </w:p>
        </w:tc>
      </w:tr>
      <w:tr>
        <w:tc>
          <w:tcPr>
            <w:vMerge w:val="continue"/>
          </w:tcPr>
          <w:p/>
        </w:tc>
        <w:tc>
          <w:tcPr>
            <w:tcW w:w="566" w:type="dxa"/>
          </w:tcPr>
          <w:p>
            <w:pPr>
              <w:pStyle w:val="0"/>
            </w:pPr>
            <w:r>
              <w:rPr>
                <w:sz w:val="24"/>
              </w:rPr>
            </w:r>
          </w:p>
        </w:tc>
        <w:tc>
          <w:tcPr>
            <w:tcW w:w="3259" w:type="dxa"/>
            <w:vAlign w:val="center"/>
          </w:tcPr>
          <w:p>
            <w:pPr>
              <w:pStyle w:val="0"/>
              <w:jc w:val="center"/>
            </w:pPr>
            <w:r>
              <w:rPr>
                <w:sz w:val="24"/>
              </w:rPr>
              <w:t xml:space="preserve">Медицинская транспортировка</w:t>
            </w:r>
          </w:p>
        </w:tc>
        <w:tc>
          <w:tcPr>
            <w:tcW w:w="1134" w:type="dxa"/>
          </w:tcPr>
          <w:p>
            <w:pPr>
              <w:pStyle w:val="0"/>
            </w:pPr>
            <w:r>
              <w:rPr>
                <w:sz w:val="24"/>
              </w:rPr>
            </w:r>
          </w:p>
        </w:tc>
        <w:tc>
          <w:tcPr>
            <w:tcW w:w="907" w:type="dxa"/>
            <w:vAlign w:val="bottom"/>
          </w:tcPr>
          <w:p>
            <w:pPr>
              <w:pStyle w:val="0"/>
            </w:pPr>
            <w:r>
              <w:rPr>
                <w:sz w:val="24"/>
              </w:rPr>
            </w:r>
          </w:p>
        </w:tc>
        <w:tc>
          <w:tcPr>
            <w:tcW w:w="737" w:type="dxa"/>
          </w:tcPr>
          <w:p>
            <w:pPr>
              <w:pStyle w:val="0"/>
            </w:pPr>
            <w:r>
              <w:rPr>
                <w:sz w:val="24"/>
              </w:rPr>
            </w:r>
          </w:p>
        </w:tc>
        <w:tc>
          <w:tcPr>
            <w:tcW w:w="1531" w:type="dxa"/>
          </w:tcPr>
          <w:p>
            <w:pPr>
              <w:pStyle w:val="0"/>
            </w:pPr>
            <w:r>
              <w:rPr>
                <w:sz w:val="24"/>
              </w:rPr>
            </w:r>
          </w:p>
        </w:tc>
      </w:tr>
      <w:tr>
        <w:tc>
          <w:tcPr>
            <w:vMerge w:val="continue"/>
          </w:tcPr>
          <w:p/>
        </w:tc>
        <w:tc>
          <w:tcPr>
            <w:tcW w:w="566" w:type="dxa"/>
          </w:tcPr>
          <w:p>
            <w:pPr>
              <w:pStyle w:val="0"/>
            </w:pPr>
            <w:r>
              <w:rPr>
                <w:sz w:val="24"/>
              </w:rPr>
            </w:r>
          </w:p>
        </w:tc>
        <w:tc>
          <w:tcPr>
            <w:tcW w:w="3259" w:type="dxa"/>
            <w:vAlign w:val="center"/>
          </w:tcPr>
          <w:p>
            <w:pPr>
              <w:pStyle w:val="0"/>
              <w:jc w:val="center"/>
            </w:pPr>
            <w:r>
              <w:rPr>
                <w:sz w:val="24"/>
              </w:rPr>
              <w:t xml:space="preserve">Иные вызовы скорой помощи</w:t>
            </w:r>
          </w:p>
        </w:tc>
        <w:tc>
          <w:tcPr>
            <w:tcW w:w="1134" w:type="dxa"/>
          </w:tcPr>
          <w:p>
            <w:pPr>
              <w:pStyle w:val="0"/>
            </w:pPr>
            <w:r>
              <w:rPr>
                <w:sz w:val="24"/>
              </w:rPr>
            </w:r>
          </w:p>
        </w:tc>
        <w:tc>
          <w:tcPr>
            <w:tcW w:w="907" w:type="dxa"/>
          </w:tcPr>
          <w:p>
            <w:pPr>
              <w:pStyle w:val="0"/>
            </w:pPr>
            <w:r>
              <w:rPr>
                <w:sz w:val="24"/>
              </w:rPr>
            </w:r>
          </w:p>
        </w:tc>
        <w:tc>
          <w:tcPr>
            <w:tcW w:w="737" w:type="dxa"/>
          </w:tcPr>
          <w:p>
            <w:pPr>
              <w:pStyle w:val="0"/>
            </w:pPr>
            <w:r>
              <w:rPr>
                <w:sz w:val="24"/>
              </w:rPr>
            </w:r>
          </w:p>
        </w:tc>
        <w:tc>
          <w:tcPr>
            <w:tcW w:w="1531" w:type="dxa"/>
          </w:tcPr>
          <w:p>
            <w:pPr>
              <w:pStyle w:val="0"/>
            </w:pPr>
            <w:r>
              <w:rPr>
                <w:sz w:val="24"/>
              </w:rPr>
            </w:r>
          </w:p>
        </w:tc>
      </w:tr>
    </w:tbl>
    <w:p>
      <w:pPr>
        <w:pStyle w:val="0"/>
        <w:jc w:val="both"/>
      </w:pPr>
      <w:r>
        <w:rPr>
          <w:sz w:val="24"/>
        </w:rPr>
      </w:r>
    </w:p>
    <w:p>
      <w:pPr>
        <w:pStyle w:val="1"/>
        <w:jc w:val="both"/>
      </w:pPr>
      <w:r>
        <w:rPr>
          <w:sz w:val="20"/>
        </w:rPr>
        <w:t xml:space="preserve">___________________________________________________________________________</w:t>
      </w:r>
    </w:p>
    <w:p>
      <w:pPr>
        <w:pStyle w:val="1"/>
        <w:jc w:val="both"/>
      </w:pPr>
      <w:r>
        <w:rPr>
          <w:sz w:val="20"/>
        </w:rPr>
      </w:r>
    </w:p>
    <w:p>
      <w:pPr>
        <w:pStyle w:val="1"/>
        <w:jc w:val="both"/>
      </w:pPr>
      <w:r>
        <w:rPr>
          <w:sz w:val="20"/>
        </w:rPr>
        <w:t xml:space="preserve">Руководитель</w:t>
      </w:r>
    </w:p>
    <w:p>
      <w:pPr>
        <w:pStyle w:val="1"/>
        <w:jc w:val="both"/>
      </w:pPr>
      <w:r>
        <w:rPr>
          <w:sz w:val="20"/>
        </w:rPr>
        <w:t xml:space="preserve">медицинской организации   ___________________   ___________________________</w:t>
      </w:r>
    </w:p>
    <w:p>
      <w:pPr>
        <w:pStyle w:val="1"/>
        <w:jc w:val="both"/>
      </w:pPr>
      <w:r>
        <w:rPr>
          <w:sz w:val="20"/>
        </w:rPr>
        <w:t xml:space="preserve">                               (подпись)           (расшифровка подписи)</w:t>
      </w:r>
    </w:p>
    <w:p>
      <w:pPr>
        <w:pStyle w:val="1"/>
        <w:jc w:val="both"/>
      </w:pPr>
      <w:r>
        <w:rPr>
          <w:sz w:val="20"/>
        </w:rPr>
      </w:r>
    </w:p>
    <w:p>
      <w:pPr>
        <w:pStyle w:val="1"/>
        <w:jc w:val="both"/>
      </w:pPr>
      <w:r>
        <w:rPr>
          <w:sz w:val="20"/>
        </w:rPr>
        <w:t xml:space="preserve">"__" ______ 20__ г.                        тел. ___________________________</w:t>
      </w:r>
    </w:p>
    <w:p>
      <w:pPr>
        <w:pStyle w:val="1"/>
        <w:jc w:val="both"/>
      </w:pPr>
      <w:r>
        <w:rPr>
          <w:sz w:val="20"/>
        </w:rPr>
        <w:t xml:space="preserve">                                                         N телефона</w:t>
      </w:r>
    </w:p>
    <w:p>
      <w:pPr>
        <w:pStyle w:val="1"/>
        <w:jc w:val="both"/>
      </w:pPr>
      <w:r>
        <w:rPr>
          <w:sz w:val="20"/>
        </w:rPr>
      </w:r>
    </w:p>
    <w:p>
      <w:pPr>
        <w:pStyle w:val="1"/>
        <w:jc w:val="both"/>
      </w:pPr>
      <w:r>
        <w:rPr>
          <w:sz w:val="20"/>
        </w:rPr>
        <w:t xml:space="preserve">              Исполнитель ___________________   ___________________________</w:t>
      </w:r>
    </w:p>
    <w:p>
      <w:pPr>
        <w:pStyle w:val="1"/>
        <w:jc w:val="both"/>
      </w:pPr>
      <w:r>
        <w:rPr>
          <w:sz w:val="20"/>
        </w:rPr>
        <w:t xml:space="preserve">                               (подпись)           (расшифровка подписи)</w:t>
      </w:r>
    </w:p>
    <w:p>
      <w:pPr>
        <w:pStyle w:val="1"/>
        <w:jc w:val="both"/>
      </w:pPr>
      <w:r>
        <w:rPr>
          <w:sz w:val="20"/>
        </w:rPr>
      </w:r>
    </w:p>
    <w:p>
      <w:pPr>
        <w:pStyle w:val="1"/>
        <w:jc w:val="both"/>
      </w:pPr>
      <w:r>
        <w:rPr>
          <w:sz w:val="20"/>
        </w:rPr>
        <w:t xml:space="preserve">                                           тел. ___________________________</w:t>
      </w:r>
    </w:p>
    <w:p>
      <w:pPr>
        <w:pStyle w:val="1"/>
        <w:jc w:val="both"/>
      </w:pPr>
      <w:r>
        <w:rPr>
          <w:sz w:val="20"/>
        </w:rPr>
        <w:t xml:space="preserve">                                                         N телефона</w:t>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jc w:val="both"/>
      </w:pPr>
      <w:r>
        <w:rPr>
          <w:sz w:val="24"/>
        </w:rPr>
      </w:r>
    </w:p>
    <w:p>
      <w:pPr>
        <w:pStyle w:val="0"/>
        <w:outlineLvl w:val="1"/>
        <w:jc w:val="right"/>
      </w:pPr>
      <w:r>
        <w:rPr>
          <w:sz w:val="24"/>
        </w:rPr>
        <w:t xml:space="preserve">Приложение N 8</w:t>
      </w:r>
    </w:p>
    <w:p>
      <w:pPr>
        <w:pStyle w:val="0"/>
        <w:jc w:val="right"/>
      </w:pPr>
      <w:r>
        <w:rPr>
          <w:sz w:val="24"/>
        </w:rPr>
        <w:t xml:space="preserve">к Правилам обязательного медицинского</w:t>
      </w:r>
    </w:p>
    <w:p>
      <w:pPr>
        <w:pStyle w:val="0"/>
        <w:jc w:val="right"/>
      </w:pPr>
      <w:r>
        <w:rPr>
          <w:sz w:val="24"/>
        </w:rPr>
        <w:t xml:space="preserve">страхования, утвержденным приказом</w:t>
      </w:r>
    </w:p>
    <w:p>
      <w:pPr>
        <w:pStyle w:val="0"/>
        <w:jc w:val="right"/>
      </w:pPr>
      <w:r>
        <w:rPr>
          <w:sz w:val="24"/>
        </w:rPr>
        <w:t xml:space="preserve">Министерства здравоохранения</w:t>
      </w:r>
    </w:p>
    <w:p>
      <w:pPr>
        <w:pStyle w:val="0"/>
        <w:jc w:val="right"/>
      </w:pPr>
      <w:r>
        <w:rPr>
          <w:sz w:val="24"/>
        </w:rPr>
        <w:t xml:space="preserve">Российской Федерации</w:t>
      </w:r>
    </w:p>
    <w:p>
      <w:pPr>
        <w:pStyle w:val="0"/>
        <w:jc w:val="right"/>
      </w:pPr>
      <w:r>
        <w:rPr>
          <w:sz w:val="24"/>
        </w:rPr>
        <w:t xml:space="preserve">от 21 августа 2025 г. N 496н</w:t>
      </w:r>
    </w:p>
    <w:p>
      <w:pPr>
        <w:pStyle w:val="0"/>
        <w:jc w:val="both"/>
      </w:pPr>
      <w:r>
        <w:rPr>
          <w:sz w:val="24"/>
        </w:rPr>
      </w:r>
    </w:p>
    <w:bookmarkStart w:id="4758" w:name="P4758"/>
    <w:bookmarkEnd w:id="4758"/>
    <w:p>
      <w:pPr>
        <w:pStyle w:val="2"/>
        <w:jc w:val="center"/>
      </w:pPr>
      <w:r>
        <w:rPr>
          <w:sz w:val="24"/>
        </w:rPr>
        <w:t xml:space="preserve">ЗНАЧЕНИЯ</w:t>
      </w:r>
    </w:p>
    <w:p>
      <w:pPr>
        <w:pStyle w:val="2"/>
        <w:jc w:val="center"/>
      </w:pPr>
      <w:r>
        <w:rPr>
          <w:sz w:val="24"/>
        </w:rPr>
        <w:t xml:space="preserve">КОЭФФИЦИЕНТОВ ДЛЯ ОПРЕДЕЛЕНИЯ РАЗМЕРА НЕОПЛАТЫ</w:t>
      </w:r>
    </w:p>
    <w:p>
      <w:pPr>
        <w:pStyle w:val="2"/>
        <w:jc w:val="center"/>
      </w:pPr>
      <w:r>
        <w:rPr>
          <w:sz w:val="24"/>
        </w:rPr>
        <w:t xml:space="preserve">ИЛИ НЕПОЛНОЙ ОПЛАТЫ ЗАТРАТ МЕДИЦИНСКОЙ ОРГАНИЗАЦИИ</w:t>
      </w:r>
    </w:p>
    <w:p>
      <w:pPr>
        <w:pStyle w:val="2"/>
        <w:jc w:val="center"/>
      </w:pPr>
      <w:r>
        <w:rPr>
          <w:sz w:val="24"/>
        </w:rPr>
        <w:t xml:space="preserve">НА ОКАЗАНИЕ МЕДИЦИНСКОЙ ПОМОЩИ И РАЗМЕРА ШТРАФНЫХ САНКЦИЙ</w:t>
      </w:r>
    </w:p>
    <w:p>
      <w:pPr>
        <w:pStyle w:val="2"/>
        <w:jc w:val="center"/>
      </w:pPr>
      <w:r>
        <w:rPr>
          <w:sz w:val="24"/>
        </w:rPr>
        <w:t xml:space="preserve">ЗА НЕОКАЗАНИЕ, НЕСВОЕВРЕМЕННОЕ ОКАЗАНИЕ ЛИБО ОКАЗАНИЕ</w:t>
      </w:r>
    </w:p>
    <w:p>
      <w:pPr>
        <w:pStyle w:val="2"/>
        <w:jc w:val="center"/>
      </w:pPr>
      <w:r>
        <w:rPr>
          <w:sz w:val="24"/>
        </w:rPr>
        <w:t xml:space="preserve">МЕДИЦИНСКОЙ ПОМОЩИ НЕНАДЛЕЖАЩЕГО КАЧЕСТВА</w:t>
      </w:r>
    </w:p>
    <w:p>
      <w:pPr>
        <w:pStyle w:val="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1700"/>
        <w:gridCol w:w="7370"/>
      </w:tblGrid>
      <w:tr>
        <w:tc>
          <w:tcPr>
            <w:tcW w:w="1700" w:type="dxa"/>
          </w:tcPr>
          <w:p>
            <w:pPr>
              <w:pStyle w:val="0"/>
              <w:jc w:val="center"/>
            </w:pPr>
            <w:r>
              <w:rPr>
                <w:sz w:val="24"/>
              </w:rPr>
              <w:t xml:space="preserve">Значение коэффициента</w:t>
            </w:r>
          </w:p>
        </w:tc>
        <w:tc>
          <w:tcPr>
            <w:tcW w:w="7370" w:type="dxa"/>
          </w:tcPr>
          <w:p>
            <w:pPr>
              <w:pStyle w:val="0"/>
              <w:jc w:val="center"/>
            </w:pPr>
            <w:r>
              <w:rPr>
                <w:sz w:val="24"/>
              </w:rPr>
              <w:t xml:space="preserve">Код нарушения/дефекта </w:t>
            </w:r>
            <w:hyperlink w:history="0" w:anchor="P4801" w:tooltip="&lt;1&gt; Приложение к Порядку организации и проведения контроля объемов, сроков, качества и условий предоставления медицинской помощи по обязательному медицинскому страхованию застрахованным лицам, а также ее финансового обеспечения, утвержденному приказом Министерства здравоохранения Российской Федерации от 19 марта 2021 г. N 231н (зарегистрирован Министерством юстиции Российской Федерации 13 мая 2021 г., регистрационный N 63410), с изменениями, внесенными приказами Министерства здравоохранения Российской Фе...">
              <w:r>
                <w:rPr>
                  <w:sz w:val="24"/>
                  <w:color w:val="0000ff"/>
                </w:rPr>
                <w:t xml:space="preserve">&lt;1&gt;</w:t>
              </w:r>
            </w:hyperlink>
          </w:p>
        </w:tc>
      </w:tr>
      <w:tr>
        <w:tc>
          <w:tcPr>
            <w:gridSpan w:val="2"/>
            <w:tcW w:w="9070" w:type="dxa"/>
          </w:tcPr>
          <w:p>
            <w:pPr>
              <w:pStyle w:val="0"/>
              <w:outlineLvl w:val="2"/>
              <w:jc w:val="center"/>
            </w:pPr>
            <w:r>
              <w:rPr>
                <w:sz w:val="24"/>
              </w:rPr>
              <w:t xml:space="preserve">Для определения размера неоплаты или неполной оплаты затрат медицинской организации на оказание медицинской помощи</w:t>
            </w:r>
          </w:p>
        </w:tc>
      </w:tr>
      <w:tr>
        <w:tc>
          <w:tcPr>
            <w:tcW w:w="1700" w:type="dxa"/>
          </w:tcPr>
          <w:p>
            <w:pPr>
              <w:pStyle w:val="0"/>
              <w:jc w:val="center"/>
            </w:pPr>
            <w:r>
              <w:rPr>
                <w:sz w:val="24"/>
              </w:rPr>
              <w:t xml:space="preserve">0</w:t>
            </w:r>
          </w:p>
        </w:tc>
        <w:tc>
          <w:tcPr>
            <w:tcW w:w="7370" w:type="dxa"/>
          </w:tcPr>
          <w:p>
            <w:pPr>
              <w:pStyle w:val="0"/>
              <w:jc w:val="both"/>
            </w:pPr>
            <w:hyperlink w:history="0" r:id="rId308" w:tooltip="Приказ Минздрава России от 19.03.2021 N 231н (ред. от 04.09.2024) &quot;Об утверждении Порядка проведения контроля объемов, сроков, качества и условий предоставления медицинской помощи по обязательному медицинскому страхованию застрахованным лицам, а также ее финансового обеспечения&quot; (Зарегистрировано в Минюсте России 13.05.2021 N 63410) {КонсультантПлюс}">
              <w:r>
                <w:rPr>
                  <w:sz w:val="24"/>
                  <w:color w:val="0000ff"/>
                </w:rPr>
                <w:t xml:space="preserve">1.1</w:t>
              </w:r>
            </w:hyperlink>
            <w:r>
              <w:rPr>
                <w:sz w:val="24"/>
              </w:rPr>
              <w:t xml:space="preserve">; </w:t>
            </w:r>
            <w:hyperlink w:history="0" r:id="rId309" w:tooltip="Приказ Минздрава России от 19.03.2021 N 231н (ред. от 04.09.2024) &quot;Об утверждении Порядка проведения контроля объемов, сроков, качества и условий предоставления медицинской помощи по обязательному медицинскому страхованию застрахованным лицам, а также ее финансового обеспечения&quot; (Зарегистрировано в Минюсте России 13.05.2021 N 63410) {КонсультантПлюс}">
              <w:r>
                <w:rPr>
                  <w:sz w:val="24"/>
                  <w:color w:val="0000ff"/>
                </w:rPr>
                <w:t xml:space="preserve">1.2</w:t>
              </w:r>
            </w:hyperlink>
            <w:r>
              <w:rPr>
                <w:sz w:val="24"/>
              </w:rPr>
              <w:t xml:space="preserve">; </w:t>
            </w:r>
            <w:hyperlink w:history="0" r:id="rId310" w:tooltip="Приказ Минздрава России от 19.03.2021 N 231н (ред. от 04.09.2024) &quot;Об утверждении Порядка проведения контроля объемов, сроков, качества и условий предоставления медицинской помощи по обязательному медицинскому страхованию застрахованным лицам, а также ее финансового обеспечения&quot; (Зарегистрировано в Минюсте России 13.05.2021 N 63410) {КонсультантПлюс}">
              <w:r>
                <w:rPr>
                  <w:sz w:val="24"/>
                  <w:color w:val="0000ff"/>
                </w:rPr>
                <w:t xml:space="preserve">2.1</w:t>
              </w:r>
            </w:hyperlink>
            <w:r>
              <w:rPr>
                <w:sz w:val="24"/>
              </w:rPr>
              <w:t xml:space="preserve">; </w:t>
            </w:r>
            <w:hyperlink w:history="0" r:id="rId311" w:tooltip="Приказ Минздрава России от 19.03.2021 N 231н (ред. от 04.09.2024) &quot;Об утверждении Порядка проведения контроля объемов, сроков, качества и условий предоставления медицинской помощи по обязательному медицинскому страхованию застрахованным лицам, а также ее финансового обеспечения&quot; (Зарегистрировано в Минюсте России 13.05.2021 N 63410) {КонсультантПлюс}">
              <w:r>
                <w:rPr>
                  <w:sz w:val="24"/>
                  <w:color w:val="0000ff"/>
                </w:rPr>
                <w:t xml:space="preserve">2.9</w:t>
              </w:r>
            </w:hyperlink>
            <w:r>
              <w:rPr>
                <w:sz w:val="24"/>
              </w:rPr>
              <w:t xml:space="preserve">; </w:t>
            </w:r>
            <w:hyperlink w:history="0" r:id="rId312" w:tooltip="Приказ Минздрава России от 19.03.2021 N 231н (ред. от 04.09.2024) &quot;Об утверждении Порядка проведения контроля объемов, сроков, качества и условий предоставления медицинской помощи по обязательному медицинскому страхованию застрахованным лицам, а также ее финансового обеспечения&quot; (Зарегистрировано в Минюсте России 13.05.2021 N 63410) {КонсультантПлюс}">
              <w:r>
                <w:rPr>
                  <w:sz w:val="24"/>
                  <w:color w:val="0000ff"/>
                </w:rPr>
                <w:t xml:space="preserve">2.11</w:t>
              </w:r>
            </w:hyperlink>
            <w:r>
              <w:rPr>
                <w:sz w:val="24"/>
              </w:rPr>
              <w:t xml:space="preserve">; </w:t>
            </w:r>
            <w:hyperlink w:history="0" r:id="rId313" w:tooltip="Приказ Минздрава России от 19.03.2021 N 231н (ред. от 04.09.2024) &quot;Об утверждении Порядка проведения контроля объемов, сроков, качества и условий предоставления медицинской помощи по обязательному медицинскому страхованию застрахованным лицам, а также ее финансового обеспечения&quot; (Зарегистрировано в Минюсте России 13.05.2021 N 63410) {КонсультантПлюс}">
              <w:r>
                <w:rPr>
                  <w:sz w:val="24"/>
                  <w:color w:val="0000ff"/>
                </w:rPr>
                <w:t xml:space="preserve">2.17</w:t>
              </w:r>
            </w:hyperlink>
            <w:r>
              <w:rPr>
                <w:sz w:val="24"/>
              </w:rPr>
              <w:t xml:space="preserve">; </w:t>
            </w:r>
            <w:hyperlink w:history="0" r:id="rId314" w:tooltip="Приказ Минздрава России от 19.03.2021 N 231н (ред. от 04.09.2024) &quot;Об утверждении Порядка проведения контроля объемов, сроков, качества и условий предоставления медицинской помощи по обязательному медицинскому страхованию застрахованным лицам, а также ее финансового обеспечения&quot; (Зарегистрировано в Минюсте России 13.05.2021 N 63410) {КонсультантПлюс}">
              <w:r>
                <w:rPr>
                  <w:sz w:val="24"/>
                  <w:color w:val="0000ff"/>
                </w:rPr>
                <w:t xml:space="preserve">2.18</w:t>
              </w:r>
            </w:hyperlink>
            <w:r>
              <w:rPr>
                <w:sz w:val="24"/>
              </w:rPr>
              <w:t xml:space="preserve">; </w:t>
            </w:r>
            <w:hyperlink w:history="0" r:id="rId315" w:tooltip="Приказ Минздрава России от 19.03.2021 N 231н (ред. от 04.09.2024) &quot;Об утверждении Порядка проведения контроля объемов, сроков, качества и условий предоставления медицинской помощи по обязательному медицинскому страхованию застрахованным лицам, а также ее финансового обеспечения&quot; (Зарегистрировано в Минюсте России 13.05.2021 N 63410) {КонсультантПлюс}">
              <w:r>
                <w:rPr>
                  <w:sz w:val="24"/>
                  <w:color w:val="0000ff"/>
                </w:rPr>
                <w:t xml:space="preserve">3.12</w:t>
              </w:r>
            </w:hyperlink>
          </w:p>
        </w:tc>
      </w:tr>
      <w:tr>
        <w:tc>
          <w:tcPr>
            <w:tcW w:w="1700" w:type="dxa"/>
          </w:tcPr>
          <w:p>
            <w:pPr>
              <w:pStyle w:val="0"/>
              <w:jc w:val="center"/>
            </w:pPr>
            <w:r>
              <w:rPr>
                <w:sz w:val="24"/>
              </w:rPr>
              <w:t xml:space="preserve">0,1</w:t>
            </w:r>
          </w:p>
        </w:tc>
        <w:tc>
          <w:tcPr>
            <w:tcW w:w="7370" w:type="dxa"/>
          </w:tcPr>
          <w:p>
            <w:pPr>
              <w:pStyle w:val="0"/>
              <w:jc w:val="both"/>
            </w:pPr>
            <w:hyperlink w:history="0" r:id="rId316" w:tooltip="Приказ Минздрава России от 19.03.2021 N 231н (ред. от 04.09.2024) &quot;Об утверждении Порядка проведения контроля объемов, сроков, качества и условий предоставления медицинской помощи по обязательному медицинскому страхованию застрахованным лицам, а также ее финансового обеспечения&quot; (Зарегистрировано в Минюсте России 13.05.2021 N 63410) {КонсультантПлюс}">
              <w:r>
                <w:rPr>
                  <w:sz w:val="24"/>
                  <w:color w:val="0000ff"/>
                </w:rPr>
                <w:t xml:space="preserve">2.13</w:t>
              </w:r>
            </w:hyperlink>
            <w:r>
              <w:rPr>
                <w:sz w:val="24"/>
              </w:rPr>
              <w:t xml:space="preserve">; </w:t>
            </w:r>
            <w:hyperlink w:history="0" r:id="rId317" w:tooltip="Приказ Минздрава России от 19.03.2021 N 231н (ред. от 04.09.2024) &quot;Об утверждении Порядка проведения контроля объемов, сроков, качества и условий предоставления медицинской помощи по обязательному медицинскому страхованию застрахованным лицам, а также ее финансового обеспечения&quot; (Зарегистрировано в Минюсте России 13.05.2021 N 63410) {КонсультантПлюс}">
              <w:r>
                <w:rPr>
                  <w:sz w:val="24"/>
                  <w:color w:val="0000ff"/>
                </w:rPr>
                <w:t xml:space="preserve">2.16.1</w:t>
              </w:r>
            </w:hyperlink>
            <w:r>
              <w:rPr>
                <w:sz w:val="24"/>
              </w:rPr>
              <w:t xml:space="preserve">; </w:t>
            </w:r>
            <w:hyperlink w:history="0" r:id="rId318" w:tooltip="Приказ Минздрава России от 19.03.2021 N 231н (ред. от 04.09.2024) &quot;Об утверждении Порядка проведения контроля объемов, сроков, качества и условий предоставления медицинской помощи по обязательному медицинскому страхованию застрахованным лицам, а также ее финансового обеспечения&quot; (Зарегистрировано в Минюсте России 13.05.2021 N 63410) {КонсультантПлюс}">
              <w:r>
                <w:rPr>
                  <w:sz w:val="24"/>
                  <w:color w:val="0000ff"/>
                </w:rPr>
                <w:t xml:space="preserve">3.1.1</w:t>
              </w:r>
            </w:hyperlink>
            <w:r>
              <w:rPr>
                <w:sz w:val="24"/>
              </w:rPr>
              <w:t xml:space="preserve">; </w:t>
            </w:r>
            <w:hyperlink w:history="0" r:id="rId319" w:tooltip="Приказ Минздрава России от 19.03.2021 N 231н (ред. от 04.09.2024) &quot;Об утверждении Порядка проведения контроля объемов, сроков, качества и условий предоставления медицинской помощи по обязательному медицинскому страхованию застрахованным лицам, а также ее финансового обеспечения&quot; (Зарегистрировано в Минюсте России 13.05.2021 N 63410) {КонсультантПлюс}">
              <w:r>
                <w:rPr>
                  <w:sz w:val="24"/>
                  <w:color w:val="0000ff"/>
                </w:rPr>
                <w:t xml:space="preserve">3.2.1</w:t>
              </w:r>
            </w:hyperlink>
          </w:p>
        </w:tc>
      </w:tr>
      <w:tr>
        <w:tc>
          <w:tcPr>
            <w:tcW w:w="1700" w:type="dxa"/>
          </w:tcPr>
          <w:p>
            <w:pPr>
              <w:pStyle w:val="0"/>
              <w:jc w:val="center"/>
            </w:pPr>
            <w:r>
              <w:rPr>
                <w:sz w:val="24"/>
              </w:rPr>
              <w:t xml:space="preserve">0,3</w:t>
            </w:r>
          </w:p>
        </w:tc>
        <w:tc>
          <w:tcPr>
            <w:tcW w:w="7370" w:type="dxa"/>
          </w:tcPr>
          <w:p>
            <w:pPr>
              <w:pStyle w:val="0"/>
              <w:jc w:val="both"/>
            </w:pPr>
            <w:hyperlink w:history="0" r:id="rId320" w:tooltip="Приказ Минздрава России от 19.03.2021 N 231н (ред. от 04.09.2024) &quot;Об утверждении Порядка проведения контроля объемов, сроков, качества и условий предоставления медицинской помощи по обязательному медицинскому страхованию застрахованным лицам, а также ее финансового обеспечения&quot; (Зарегистрировано в Минюсте России 13.05.2021 N 63410) {КонсультантПлюс}">
              <w:r>
                <w:rPr>
                  <w:sz w:val="24"/>
                  <w:color w:val="0000ff"/>
                </w:rPr>
                <w:t xml:space="preserve">3.1.2</w:t>
              </w:r>
            </w:hyperlink>
            <w:r>
              <w:rPr>
                <w:sz w:val="24"/>
              </w:rPr>
              <w:t xml:space="preserve">; </w:t>
            </w:r>
            <w:hyperlink w:history="0" r:id="rId321" w:tooltip="Приказ Минздрава России от 19.03.2021 N 231н (ред. от 04.09.2024) &quot;Об утверждении Порядка проведения контроля объемов, сроков, качества и условий предоставления медицинской помощи по обязательному медицинскому страхованию застрахованным лицам, а также ее финансового обеспечения&quot; (Зарегистрировано в Минюсте России 13.05.2021 N 63410) {КонсультантПлюс}">
              <w:r>
                <w:rPr>
                  <w:sz w:val="24"/>
                  <w:color w:val="0000ff"/>
                </w:rPr>
                <w:t xml:space="preserve">3.5</w:t>
              </w:r>
            </w:hyperlink>
          </w:p>
        </w:tc>
      </w:tr>
      <w:tr>
        <w:tc>
          <w:tcPr>
            <w:tcW w:w="1700" w:type="dxa"/>
          </w:tcPr>
          <w:p>
            <w:pPr>
              <w:pStyle w:val="0"/>
              <w:jc w:val="center"/>
            </w:pPr>
            <w:r>
              <w:rPr>
                <w:sz w:val="24"/>
              </w:rPr>
              <w:t xml:space="preserve">0,4</w:t>
            </w:r>
          </w:p>
        </w:tc>
        <w:tc>
          <w:tcPr>
            <w:tcW w:w="7370" w:type="dxa"/>
          </w:tcPr>
          <w:p>
            <w:pPr>
              <w:pStyle w:val="0"/>
              <w:jc w:val="both"/>
            </w:pPr>
            <w:hyperlink w:history="0" r:id="rId322" w:tooltip="Приказ Минздрава России от 19.03.2021 N 231н (ред. от 04.09.2024) &quot;Об утверждении Порядка проведения контроля объемов, сроков, качества и условий предоставления медицинской помощи по обязательному медицинскому страхованию застрахованным лицам, а также ее финансового обеспечения&quot; (Зарегистрировано в Минюсте России 13.05.2021 N 63410) {КонсультантПлюс}">
              <w:r>
                <w:rPr>
                  <w:sz w:val="24"/>
                  <w:color w:val="0000ff"/>
                </w:rPr>
                <w:t xml:space="preserve">3.1.3</w:t>
              </w:r>
            </w:hyperlink>
            <w:r>
              <w:rPr>
                <w:sz w:val="24"/>
              </w:rPr>
              <w:t xml:space="preserve">; </w:t>
            </w:r>
            <w:hyperlink w:history="0" r:id="rId323" w:tooltip="Приказ Минздрава России от 19.03.2021 N 231н (ред. от 04.09.2024) &quot;Об утверждении Порядка проведения контроля объемов, сроков, качества и условий предоставления медицинской помощи по обязательному медицинскому страхованию застрахованным лицам, а также ее финансового обеспечения&quot; (Зарегистрировано в Минюсте России 13.05.2021 N 63410) {КонсультантПлюс}">
              <w:r>
                <w:rPr>
                  <w:sz w:val="24"/>
                  <w:color w:val="0000ff"/>
                </w:rPr>
                <w:t xml:space="preserve">3.2.2</w:t>
              </w:r>
            </w:hyperlink>
          </w:p>
        </w:tc>
      </w:tr>
      <w:tr>
        <w:tc>
          <w:tcPr>
            <w:tcW w:w="1700" w:type="dxa"/>
          </w:tcPr>
          <w:p>
            <w:pPr>
              <w:pStyle w:val="0"/>
              <w:jc w:val="center"/>
            </w:pPr>
            <w:r>
              <w:rPr>
                <w:sz w:val="24"/>
              </w:rPr>
              <w:t xml:space="preserve">0,5</w:t>
            </w:r>
          </w:p>
        </w:tc>
        <w:tc>
          <w:tcPr>
            <w:tcW w:w="7370" w:type="dxa"/>
          </w:tcPr>
          <w:p>
            <w:pPr>
              <w:pStyle w:val="0"/>
              <w:jc w:val="both"/>
            </w:pPr>
            <w:hyperlink w:history="0" r:id="rId324" w:tooltip="Приказ Минздрава России от 19.03.2021 N 231н (ред. от 04.09.2024) &quot;Об утверждении Порядка проведения контроля объемов, сроков, качества и условий предоставления медицинской помощи по обязательному медицинскому страхованию застрахованным лицам, а также ее финансового обеспечения&quot; (Зарегистрировано в Минюсте России 13.05.2021 N 63410) {КонсультантПлюс}">
              <w:r>
                <w:rPr>
                  <w:sz w:val="24"/>
                  <w:color w:val="0000ff"/>
                </w:rPr>
                <w:t xml:space="preserve">2.10</w:t>
              </w:r>
            </w:hyperlink>
            <w:r>
              <w:rPr>
                <w:sz w:val="24"/>
              </w:rPr>
              <w:t xml:space="preserve">; </w:t>
            </w:r>
            <w:hyperlink w:history="0" r:id="rId325" w:tooltip="Приказ Минздрава России от 19.03.2021 N 231н (ред. от 04.09.2024) &quot;Об утверждении Порядка проведения контроля объемов, сроков, качества и условий предоставления медицинской помощи по обязательному медицинскому страхованию застрахованным лицам, а также ее финансового обеспечения&quot; (Зарегистрировано в Минюсте России 13.05.2021 N 63410) {КонсультантПлюс}">
              <w:r>
                <w:rPr>
                  <w:sz w:val="24"/>
                  <w:color w:val="0000ff"/>
                </w:rPr>
                <w:t xml:space="preserve">2.14</w:t>
              </w:r>
            </w:hyperlink>
            <w:r>
              <w:rPr>
                <w:sz w:val="24"/>
              </w:rPr>
              <w:t xml:space="preserve">; </w:t>
            </w:r>
            <w:hyperlink w:history="0" r:id="rId326" w:tooltip="Приказ Минздрава России от 19.03.2021 N 231н (ред. от 04.09.2024) &quot;Об утверждении Порядка проведения контроля объемов, сроков, качества и условий предоставления медицинской помощи по обязательному медицинскому страхованию застрахованным лицам, а также ее финансового обеспечения&quot; (Зарегистрировано в Минюсте России 13.05.2021 N 63410) {КонсультантПлюс}">
              <w:r>
                <w:rPr>
                  <w:sz w:val="24"/>
                  <w:color w:val="0000ff"/>
                </w:rPr>
                <w:t xml:space="preserve">3.3</w:t>
              </w:r>
            </w:hyperlink>
            <w:r>
              <w:rPr>
                <w:sz w:val="24"/>
              </w:rPr>
              <w:t xml:space="preserve">; </w:t>
            </w:r>
            <w:hyperlink w:history="0" r:id="rId327" w:tooltip="Приказ Минздрава России от 19.03.2021 N 231н (ред. от 04.09.2024) &quot;Об утверждении Порядка проведения контроля объемов, сроков, качества и условий предоставления медицинской помощи по обязательному медицинскому страхованию застрахованным лицам, а также ее финансового обеспечения&quot; (Зарегистрировано в Минюсте России 13.05.2021 N 63410) {КонсультантПлюс}">
              <w:r>
                <w:rPr>
                  <w:sz w:val="24"/>
                  <w:color w:val="0000ff"/>
                </w:rPr>
                <w:t xml:space="preserve">3.4</w:t>
              </w:r>
            </w:hyperlink>
            <w:r>
              <w:rPr>
                <w:sz w:val="24"/>
              </w:rPr>
              <w:t xml:space="preserve">; </w:t>
            </w:r>
            <w:hyperlink w:history="0" r:id="rId328" w:tooltip="Приказ Минздрава России от 19.03.2021 N 231н (ред. от 04.09.2024) &quot;Об утверждении Порядка проведения контроля объемов, сроков, качества и условий предоставления медицинской помощи по обязательному медицинскому страхованию застрахованным лицам, а также ее финансового обеспечения&quot; (Зарегистрировано в Минюсте России 13.05.2021 N 63410) {КонсультантПлюс}">
              <w:r>
                <w:rPr>
                  <w:sz w:val="24"/>
                  <w:color w:val="0000ff"/>
                </w:rPr>
                <w:t xml:space="preserve">3.11</w:t>
              </w:r>
            </w:hyperlink>
            <w:r>
              <w:rPr>
                <w:sz w:val="24"/>
              </w:rPr>
              <w:t xml:space="preserve">; </w:t>
            </w:r>
            <w:hyperlink w:history="0" r:id="rId329" w:tooltip="Приказ Минздрава России от 19.03.2021 N 231н (ред. от 04.09.2024) &quot;Об утверждении Порядка проведения контроля объемов, сроков, качества и условий предоставления медицинской помощи по обязательному медицинскому страхованию застрахованным лицам, а также ее финансового обеспечения&quot; (Зарегистрировано в Минюсте России 13.05.2021 N 63410) {КонсультантПлюс}">
              <w:r>
                <w:rPr>
                  <w:sz w:val="24"/>
                  <w:color w:val="0000ff"/>
                </w:rPr>
                <w:t xml:space="preserve">3.13</w:t>
              </w:r>
            </w:hyperlink>
          </w:p>
        </w:tc>
      </w:tr>
      <w:tr>
        <w:tc>
          <w:tcPr>
            <w:tcW w:w="1700" w:type="dxa"/>
          </w:tcPr>
          <w:p>
            <w:pPr>
              <w:pStyle w:val="0"/>
              <w:jc w:val="center"/>
            </w:pPr>
            <w:r>
              <w:rPr>
                <w:sz w:val="24"/>
              </w:rPr>
              <w:t xml:space="preserve">0,8</w:t>
            </w:r>
          </w:p>
        </w:tc>
        <w:tc>
          <w:tcPr>
            <w:tcW w:w="7370" w:type="dxa"/>
          </w:tcPr>
          <w:p>
            <w:pPr>
              <w:pStyle w:val="0"/>
              <w:jc w:val="both"/>
            </w:pPr>
            <w:hyperlink w:history="0" r:id="rId330" w:tooltip="Приказ Минздрава России от 19.03.2021 N 231н (ред. от 04.09.2024) &quot;Об утверждении Порядка проведения контроля объемов, сроков, качества и условий предоставления медицинской помощи по обязательному медицинскому страхованию застрахованным лицам, а также ее финансового обеспечения&quot; (Зарегистрировано в Минюсте России 13.05.2021 N 63410) {КонсультантПлюс}">
              <w:r>
                <w:rPr>
                  <w:sz w:val="24"/>
                  <w:color w:val="0000ff"/>
                </w:rPr>
                <w:t xml:space="preserve">3.6</w:t>
              </w:r>
            </w:hyperlink>
          </w:p>
        </w:tc>
      </w:tr>
      <w:tr>
        <w:tc>
          <w:tcPr>
            <w:tcW w:w="1700" w:type="dxa"/>
          </w:tcPr>
          <w:p>
            <w:pPr>
              <w:pStyle w:val="0"/>
              <w:jc w:val="center"/>
            </w:pPr>
            <w:r>
              <w:rPr>
                <w:sz w:val="24"/>
              </w:rPr>
              <w:t xml:space="preserve">0,9</w:t>
            </w:r>
          </w:p>
        </w:tc>
        <w:tc>
          <w:tcPr>
            <w:tcW w:w="7370" w:type="dxa"/>
          </w:tcPr>
          <w:p>
            <w:pPr>
              <w:pStyle w:val="0"/>
              <w:jc w:val="both"/>
            </w:pPr>
            <w:hyperlink w:history="0" r:id="rId331" w:tooltip="Приказ Минздрава России от 19.03.2021 N 231н (ред. от 04.09.2024) &quot;Об утверждении Порядка проведения контроля объемов, сроков, качества и условий предоставления медицинской помощи по обязательному медицинскому страхованию застрахованным лицам, а также ее финансового обеспечения&quot; (Зарегистрировано в Минюсте России 13.05.2021 N 63410) {КонсультантПлюс}">
              <w:r>
                <w:rPr>
                  <w:sz w:val="24"/>
                  <w:color w:val="0000ff"/>
                </w:rPr>
                <w:t xml:space="preserve">3.1.4</w:t>
              </w:r>
            </w:hyperlink>
            <w:r>
              <w:rPr>
                <w:sz w:val="24"/>
              </w:rPr>
              <w:t xml:space="preserve">; </w:t>
            </w:r>
            <w:hyperlink w:history="0" r:id="rId332" w:tooltip="Приказ Минздрава России от 19.03.2021 N 231н (ред. от 04.09.2024) &quot;Об утверждении Порядка проведения контроля объемов, сроков, качества и условий предоставления медицинской помощи по обязательному медицинскому страхованию застрахованным лицам, а также ее финансового обеспечения&quot; (Зарегистрировано в Минюсте России 13.05.2021 N 63410) {КонсультантПлюс}">
              <w:r>
                <w:rPr>
                  <w:sz w:val="24"/>
                  <w:color w:val="0000ff"/>
                </w:rPr>
                <w:t xml:space="preserve">3.2.3</w:t>
              </w:r>
            </w:hyperlink>
            <w:r>
              <w:rPr>
                <w:sz w:val="24"/>
              </w:rPr>
              <w:t xml:space="preserve">; </w:t>
            </w:r>
            <w:hyperlink w:history="0" r:id="rId333" w:tooltip="Приказ Минздрава России от 19.03.2021 N 231н (ред. от 04.09.2024) &quot;Об утверждении Порядка проведения контроля объемов, сроков, качества и условий предоставления медицинской помощи по обязательному медицинскому страхованию застрахованным лицам, а также ее финансового обеспечения&quot; (Зарегистрировано в Минюсте России 13.05.2021 N 63410) {КонсультантПлюс}">
              <w:r>
                <w:rPr>
                  <w:sz w:val="24"/>
                  <w:color w:val="0000ff"/>
                </w:rPr>
                <w:t xml:space="preserve">3.2.5</w:t>
              </w:r>
            </w:hyperlink>
            <w:r>
              <w:rPr>
                <w:sz w:val="24"/>
              </w:rPr>
              <w:t xml:space="preserve">; </w:t>
            </w:r>
            <w:hyperlink w:history="0" r:id="rId334" w:tooltip="Приказ Минздрава России от 19.03.2021 N 231н (ред. от 04.09.2024) &quot;Об утверждении Порядка проведения контроля объемов, сроков, качества и условий предоставления медицинской помощи по обязательному медицинскому страхованию застрахованным лицам, а также ее финансового обеспечения&quot; (Зарегистрировано в Минюсте России 13.05.2021 N 63410) {КонсультантПлюс}">
              <w:r>
                <w:rPr>
                  <w:sz w:val="24"/>
                  <w:color w:val="0000ff"/>
                </w:rPr>
                <w:t xml:space="preserve">3.2.6</w:t>
              </w:r>
            </w:hyperlink>
            <w:r>
              <w:rPr>
                <w:sz w:val="24"/>
              </w:rPr>
              <w:t xml:space="preserve">; </w:t>
            </w:r>
            <w:hyperlink w:history="0" r:id="rId335" w:tooltip="Приказ Минздрава России от 19.03.2021 N 231н (ред. от 04.09.2024) &quot;Об утверждении Порядка проведения контроля объемов, сроков, качества и условий предоставления медицинской помощи по обязательному медицинскому страхованию застрахованным лицам, а также ее финансового обеспечения&quot; (Зарегистрировано в Минюсте России 13.05.2021 N 63410) {КонсультантПлюс}">
              <w:r>
                <w:rPr>
                  <w:sz w:val="24"/>
                  <w:color w:val="0000ff"/>
                </w:rPr>
                <w:t xml:space="preserve">3.10</w:t>
              </w:r>
            </w:hyperlink>
          </w:p>
        </w:tc>
      </w:tr>
      <w:tr>
        <w:tc>
          <w:tcPr>
            <w:tcW w:w="1700" w:type="dxa"/>
          </w:tcPr>
          <w:p>
            <w:pPr>
              <w:pStyle w:val="0"/>
              <w:jc w:val="center"/>
            </w:pPr>
            <w:r>
              <w:rPr>
                <w:sz w:val="24"/>
              </w:rPr>
              <w:t xml:space="preserve">1</w:t>
            </w:r>
          </w:p>
        </w:tc>
        <w:tc>
          <w:tcPr>
            <w:tcW w:w="7370" w:type="dxa"/>
          </w:tcPr>
          <w:p>
            <w:pPr>
              <w:pStyle w:val="0"/>
              <w:jc w:val="both"/>
            </w:pPr>
            <w:hyperlink w:history="0" r:id="rId336" w:tooltip="Приказ Минздрава России от 19.03.2021 N 231н (ред. от 04.09.2024) &quot;Об утверждении Порядка проведения контроля объемов, сроков, качества и условий предоставления медицинской помощи по обязательному медицинскому страхованию застрахованным лицам, а также ее финансового обеспечения&quot; (Зарегистрировано в Минюсте России 13.05.2021 N 63410) {КонсультантПлюс}">
              <w:r>
                <w:rPr>
                  <w:sz w:val="24"/>
                  <w:color w:val="0000ff"/>
                </w:rPr>
                <w:t xml:space="preserve">1.3</w:t>
              </w:r>
            </w:hyperlink>
            <w:r>
              <w:rPr>
                <w:sz w:val="24"/>
              </w:rPr>
              <w:t xml:space="preserve">; </w:t>
            </w:r>
            <w:hyperlink w:history="0" r:id="rId337" w:tooltip="Приказ Минздрава России от 19.03.2021 N 231н (ред. от 04.09.2024) &quot;Об утверждении Порядка проведения контроля объемов, сроков, качества и условий предоставления медицинской помощи по обязательному медицинскому страхованию застрахованным лицам, а также ее финансового обеспечения&quot; (Зарегистрировано в Минюсте России 13.05.2021 N 63410) {КонсультантПлюс}">
              <w:r>
                <w:rPr>
                  <w:sz w:val="24"/>
                  <w:color w:val="0000ff"/>
                </w:rPr>
                <w:t xml:space="preserve">1.4.1</w:t>
              </w:r>
            </w:hyperlink>
            <w:r>
              <w:rPr>
                <w:sz w:val="24"/>
              </w:rPr>
              <w:t xml:space="preserve">; </w:t>
            </w:r>
            <w:hyperlink w:history="0" r:id="rId338" w:tooltip="Приказ Минздрава России от 19.03.2021 N 231н (ред. от 04.09.2024) &quot;Об утверждении Порядка проведения контроля объемов, сроков, качества и условий предоставления медицинской помощи по обязательному медицинскому страхованию застрахованным лицам, а также ее финансового обеспечения&quot; (Зарегистрировано в Минюсте России 13.05.2021 N 63410) {КонсультантПлюс}">
              <w:r>
                <w:rPr>
                  <w:sz w:val="24"/>
                  <w:color w:val="0000ff"/>
                </w:rPr>
                <w:t xml:space="preserve">1.4.2</w:t>
              </w:r>
            </w:hyperlink>
            <w:r>
              <w:rPr>
                <w:sz w:val="24"/>
              </w:rPr>
              <w:t xml:space="preserve">; </w:t>
            </w:r>
            <w:hyperlink w:history="0" r:id="rId339" w:tooltip="Приказ Минздрава России от 19.03.2021 N 231н (ред. от 04.09.2024) &quot;Об утверждении Порядка проведения контроля объемов, сроков, качества и условий предоставления медицинской помощи по обязательному медицинскому страхованию застрахованным лицам, а также ее финансового обеспечения&quot; (Зарегистрировано в Минюсте России 13.05.2021 N 63410) {КонсультантПлюс}">
              <w:r>
                <w:rPr>
                  <w:sz w:val="24"/>
                  <w:color w:val="0000ff"/>
                </w:rPr>
                <w:t xml:space="preserve">1.4.3</w:t>
              </w:r>
            </w:hyperlink>
            <w:r>
              <w:rPr>
                <w:sz w:val="24"/>
              </w:rPr>
              <w:t xml:space="preserve">; </w:t>
            </w:r>
            <w:hyperlink w:history="0" r:id="rId340" w:tooltip="Приказ Минздрава России от 19.03.2021 N 231н (ред. от 04.09.2024) &quot;Об утверждении Порядка проведения контроля объемов, сроков, качества и условий предоставления медицинской помощи по обязательному медицинскому страхованию застрахованным лицам, а также ее финансового обеспечения&quot; (Зарегистрировано в Минюсте России 13.05.2021 N 63410) {КонсультантПлюс}">
              <w:r>
                <w:rPr>
                  <w:sz w:val="24"/>
                  <w:color w:val="0000ff"/>
                </w:rPr>
                <w:t xml:space="preserve">1.4.4</w:t>
              </w:r>
            </w:hyperlink>
            <w:r>
              <w:rPr>
                <w:sz w:val="24"/>
              </w:rPr>
              <w:t xml:space="preserve">; </w:t>
            </w:r>
            <w:hyperlink w:history="0" r:id="rId341" w:tooltip="Приказ Минздрава России от 19.03.2021 N 231н (ред. от 04.09.2024) &quot;Об утверждении Порядка проведения контроля объемов, сроков, качества и условий предоставления медицинской помощи по обязательному медицинскому страхованию застрахованным лицам, а также ее финансового обеспечения&quot; (Зарегистрировано в Минюсте России 13.05.2021 N 63410) {КонсультантПлюс}">
              <w:r>
                <w:rPr>
                  <w:sz w:val="24"/>
                  <w:color w:val="0000ff"/>
                </w:rPr>
                <w:t xml:space="preserve">1.4.5</w:t>
              </w:r>
            </w:hyperlink>
            <w:r>
              <w:rPr>
                <w:sz w:val="24"/>
              </w:rPr>
              <w:t xml:space="preserve">; </w:t>
            </w:r>
            <w:hyperlink w:history="0" r:id="rId342" w:tooltip="Приказ Минздрава России от 19.03.2021 N 231н (ред. от 04.09.2024) &quot;Об утверждении Порядка проведения контроля объемов, сроков, качества и условий предоставления медицинской помощи по обязательному медицинскому страхованию застрахованным лицам, а также ее финансового обеспечения&quot; (Зарегистрировано в Минюсте России 13.05.2021 N 63410) {КонсультантПлюс}">
              <w:r>
                <w:rPr>
                  <w:sz w:val="24"/>
                  <w:color w:val="0000ff"/>
                </w:rPr>
                <w:t xml:space="preserve">1.4.6</w:t>
              </w:r>
            </w:hyperlink>
            <w:r>
              <w:rPr>
                <w:sz w:val="24"/>
              </w:rPr>
              <w:t xml:space="preserve">; </w:t>
            </w:r>
            <w:hyperlink w:history="0" r:id="rId343" w:tooltip="Приказ Минздрава России от 19.03.2021 N 231н (ред. от 04.09.2024) &quot;Об утверждении Порядка проведения контроля объемов, сроков, качества и условий предоставления медицинской помощи по обязательному медицинскому страхованию застрахованным лицам, а также ее финансового обеспечения&quot; (Зарегистрировано в Минюсте России 13.05.2021 N 63410) {КонсультантПлюс}">
              <w:r>
                <w:rPr>
                  <w:sz w:val="24"/>
                  <w:color w:val="0000ff"/>
                </w:rPr>
                <w:t xml:space="preserve">1.5</w:t>
              </w:r>
            </w:hyperlink>
            <w:r>
              <w:rPr>
                <w:sz w:val="24"/>
              </w:rPr>
              <w:t xml:space="preserve">; </w:t>
            </w:r>
            <w:hyperlink w:history="0" r:id="rId344" w:tooltip="Приказ Минздрава России от 19.03.2021 N 231н (ред. от 04.09.2024) &quot;Об утверждении Порядка проведения контроля объемов, сроков, качества и условий предоставления медицинской помощи по обязательному медицинскому страхованию застрахованным лицам, а также ее финансового обеспечения&quot; (Зарегистрировано в Минюсте России 13.05.2021 N 63410) {КонсультантПлюс}">
              <w:r>
                <w:rPr>
                  <w:sz w:val="24"/>
                  <w:color w:val="0000ff"/>
                </w:rPr>
                <w:t xml:space="preserve">1.6.1</w:t>
              </w:r>
            </w:hyperlink>
            <w:r>
              <w:rPr>
                <w:sz w:val="24"/>
              </w:rPr>
              <w:t xml:space="preserve">; </w:t>
            </w:r>
            <w:hyperlink w:history="0" r:id="rId345" w:tooltip="Приказ Минздрава России от 19.03.2021 N 231н (ред. от 04.09.2024) &quot;Об утверждении Порядка проведения контроля объемов, сроков, качества и условий предоставления медицинской помощи по обязательному медицинскому страхованию застрахованным лицам, а также ее финансового обеспечения&quot; (Зарегистрировано в Минюсте России 13.05.2021 N 63410) {КонсультантПлюс}">
              <w:r>
                <w:rPr>
                  <w:sz w:val="24"/>
                  <w:color w:val="0000ff"/>
                </w:rPr>
                <w:t xml:space="preserve">1.6.2</w:t>
              </w:r>
            </w:hyperlink>
            <w:r>
              <w:rPr>
                <w:sz w:val="24"/>
              </w:rPr>
              <w:t xml:space="preserve">; </w:t>
            </w:r>
            <w:hyperlink w:history="0" r:id="rId346" w:tooltip="Приказ Минздрава России от 19.03.2021 N 231н (ред. от 04.09.2024) &quot;Об утверждении Порядка проведения контроля объемов, сроков, качества и условий предоставления медицинской помощи по обязательному медицинскому страхованию застрахованным лицам, а также ее финансового обеспечения&quot; (Зарегистрировано в Минюсте России 13.05.2021 N 63410) {КонсультантПлюс}">
              <w:r>
                <w:rPr>
                  <w:sz w:val="24"/>
                  <w:color w:val="0000ff"/>
                </w:rPr>
                <w:t xml:space="preserve">1.6.3</w:t>
              </w:r>
            </w:hyperlink>
            <w:r>
              <w:rPr>
                <w:sz w:val="24"/>
              </w:rPr>
              <w:t xml:space="preserve">; </w:t>
            </w:r>
            <w:hyperlink w:history="0" r:id="rId347" w:tooltip="Приказ Минздрава России от 19.03.2021 N 231н (ред. от 04.09.2024) &quot;Об утверждении Порядка проведения контроля объемов, сроков, качества и условий предоставления медицинской помощи по обязательному медицинскому страхованию застрахованным лицам, а также ее финансового обеспечения&quot; (Зарегистрировано в Минюсте России 13.05.2021 N 63410) {КонсультантПлюс}">
              <w:r>
                <w:rPr>
                  <w:sz w:val="24"/>
                  <w:color w:val="0000ff"/>
                </w:rPr>
                <w:t xml:space="preserve">1.6.4</w:t>
              </w:r>
            </w:hyperlink>
            <w:r>
              <w:rPr>
                <w:sz w:val="24"/>
              </w:rPr>
              <w:t xml:space="preserve">; </w:t>
            </w:r>
            <w:hyperlink w:history="0" r:id="rId348" w:tooltip="Приказ Минздрава России от 19.03.2021 N 231н (ред. от 04.09.2024) &quot;Об утверждении Порядка проведения контроля объемов, сроков, качества и условий предоставления медицинской помощи по обязательному медицинскому страхованию застрахованным лицам, а также ее финансового обеспечения&quot; (Зарегистрировано в Минюсте России 13.05.2021 N 63410) {КонсультантПлюс}">
              <w:r>
                <w:rPr>
                  <w:sz w:val="24"/>
                  <w:color w:val="0000ff"/>
                </w:rPr>
                <w:t xml:space="preserve">1.7.1</w:t>
              </w:r>
            </w:hyperlink>
            <w:r>
              <w:rPr>
                <w:sz w:val="24"/>
              </w:rPr>
              <w:t xml:space="preserve">; </w:t>
            </w:r>
            <w:hyperlink w:history="0" r:id="rId349" w:tooltip="Приказ Минздрава России от 19.03.2021 N 231н (ред. от 04.09.2024) &quot;Об утверждении Порядка проведения контроля объемов, сроков, качества и условий предоставления медицинской помощи по обязательному медицинскому страхованию застрахованным лицам, а также ее финансового обеспечения&quot; (Зарегистрировано в Минюсте России 13.05.2021 N 63410) {КонсультантПлюс}">
              <w:r>
                <w:rPr>
                  <w:sz w:val="24"/>
                  <w:color w:val="0000ff"/>
                </w:rPr>
                <w:t xml:space="preserve">1.7.2</w:t>
              </w:r>
            </w:hyperlink>
            <w:r>
              <w:rPr>
                <w:sz w:val="24"/>
              </w:rPr>
              <w:t xml:space="preserve">; </w:t>
            </w:r>
            <w:hyperlink w:history="0" r:id="rId350" w:tooltip="Приказ Минздрава России от 19.03.2021 N 231н (ред. от 04.09.2024) &quot;Об утверждении Порядка проведения контроля объемов, сроков, качества и условий предоставления медицинской помощи по обязательному медицинскому страхованию застрахованным лицам, а также ее финансового обеспечения&quot; (Зарегистрировано в Минюсте России 13.05.2021 N 63410) {КонсультантПлюс}">
              <w:r>
                <w:rPr>
                  <w:sz w:val="24"/>
                  <w:color w:val="0000ff"/>
                </w:rPr>
                <w:t xml:space="preserve">1.8.1</w:t>
              </w:r>
            </w:hyperlink>
            <w:r>
              <w:rPr>
                <w:sz w:val="24"/>
              </w:rPr>
              <w:t xml:space="preserve">; </w:t>
            </w:r>
            <w:hyperlink w:history="0" r:id="rId351" w:tooltip="Приказ Минздрава России от 19.03.2021 N 231н (ред. от 04.09.2024) &quot;Об утверждении Порядка проведения контроля объемов, сроков, качества и условий предоставления медицинской помощи по обязательному медицинскому страхованию застрахованным лицам, а также ее финансового обеспечения&quot; (Зарегистрировано в Минюсте России 13.05.2021 N 63410) {КонсультантПлюс}">
              <w:r>
                <w:rPr>
                  <w:sz w:val="24"/>
                  <w:color w:val="0000ff"/>
                </w:rPr>
                <w:t xml:space="preserve">1.8.2</w:t>
              </w:r>
            </w:hyperlink>
            <w:r>
              <w:rPr>
                <w:sz w:val="24"/>
              </w:rPr>
              <w:t xml:space="preserve">; </w:t>
            </w:r>
            <w:hyperlink w:history="0" r:id="rId352" w:tooltip="Приказ Минздрава России от 19.03.2021 N 231н (ред. от 04.09.2024) &quot;Об утверждении Порядка проведения контроля объемов, сроков, качества и условий предоставления медицинской помощи по обязательному медицинскому страхованию застрахованным лицам, а также ее финансового обеспечения&quot; (Зарегистрировано в Минюсте России 13.05.2021 N 63410) {КонсультантПлюс}">
              <w:r>
                <w:rPr>
                  <w:sz w:val="24"/>
                  <w:color w:val="0000ff"/>
                </w:rPr>
                <w:t xml:space="preserve">1.8.3</w:t>
              </w:r>
            </w:hyperlink>
            <w:r>
              <w:rPr>
                <w:sz w:val="24"/>
              </w:rPr>
              <w:t xml:space="preserve">; </w:t>
            </w:r>
            <w:hyperlink w:history="0" r:id="rId353" w:tooltip="Приказ Минздрава России от 19.03.2021 N 231н (ред. от 04.09.2024) &quot;Об утверждении Порядка проведения контроля объемов, сроков, качества и условий предоставления медицинской помощи по обязательному медицинскому страхованию застрахованным лицам, а также ее финансового обеспечения&quot; (Зарегистрировано в Минюсте России 13.05.2021 N 63410) {КонсультантПлюс}">
              <w:r>
                <w:rPr>
                  <w:sz w:val="24"/>
                  <w:color w:val="0000ff"/>
                </w:rPr>
                <w:t xml:space="preserve">1.9</w:t>
              </w:r>
            </w:hyperlink>
            <w:r>
              <w:rPr>
                <w:sz w:val="24"/>
              </w:rPr>
              <w:t xml:space="preserve">; </w:t>
            </w:r>
            <w:hyperlink w:history="0" r:id="rId354" w:tooltip="Приказ Минздрава России от 19.03.2021 N 231н (ред. от 04.09.2024) &quot;Об утверждении Порядка проведения контроля объемов, сроков, качества и условий предоставления медицинской помощи по обязательному медицинскому страхованию застрахованным лицам, а также ее финансового обеспечения&quot; (Зарегистрировано в Минюсте России 13.05.2021 N 63410) {КонсультантПлюс}">
              <w:r>
                <w:rPr>
                  <w:sz w:val="24"/>
                  <w:color w:val="0000ff"/>
                </w:rPr>
                <w:t xml:space="preserve">1.10.1</w:t>
              </w:r>
            </w:hyperlink>
            <w:r>
              <w:rPr>
                <w:sz w:val="24"/>
              </w:rPr>
              <w:t xml:space="preserve">; </w:t>
            </w:r>
            <w:hyperlink w:history="0" r:id="rId355" w:tooltip="Приказ Минздрава России от 19.03.2021 N 231н (ред. от 04.09.2024) &quot;Об утверждении Порядка проведения контроля объемов, сроков, качества и условий предоставления медицинской помощи по обязательному медицинскому страхованию застрахованным лицам, а также ее финансового обеспечения&quot; (Зарегистрировано в Минюсте России 13.05.2021 N 63410) {КонсультантПлюс}">
              <w:r>
                <w:rPr>
                  <w:sz w:val="24"/>
                  <w:color w:val="0000ff"/>
                </w:rPr>
                <w:t xml:space="preserve">1.10.2</w:t>
              </w:r>
            </w:hyperlink>
            <w:r>
              <w:rPr>
                <w:sz w:val="24"/>
              </w:rPr>
              <w:t xml:space="preserve">; </w:t>
            </w:r>
            <w:hyperlink w:history="0" r:id="rId356" w:tooltip="Приказ Минздрава России от 19.03.2021 N 231н (ред. от 04.09.2024) &quot;Об утверждении Порядка проведения контроля объемов, сроков, качества и условий предоставления медицинской помощи по обязательному медицинскому страхованию застрахованным лицам, а также ее финансового обеспечения&quot; (Зарегистрировано в Минюсте России 13.05.2021 N 63410) {КонсультантПлюс}">
              <w:r>
                <w:rPr>
                  <w:sz w:val="24"/>
                  <w:color w:val="0000ff"/>
                </w:rPr>
                <w:t xml:space="preserve">1.10.3</w:t>
              </w:r>
            </w:hyperlink>
            <w:r>
              <w:rPr>
                <w:sz w:val="24"/>
              </w:rPr>
              <w:t xml:space="preserve">; </w:t>
            </w:r>
            <w:hyperlink w:history="0" r:id="rId357" w:tooltip="Приказ Минздрава России от 19.03.2021 N 231н (ред. от 04.09.2024) &quot;Об утверждении Порядка проведения контроля объемов, сроков, качества и условий предоставления медицинской помощи по обязательному медицинскому страхованию застрахованным лицам, а также ее финансового обеспечения&quot; (Зарегистрировано в Минюсте России 13.05.2021 N 63410) {КонсультантПлюс}">
              <w:r>
                <w:rPr>
                  <w:sz w:val="24"/>
                  <w:color w:val="0000ff"/>
                </w:rPr>
                <w:t xml:space="preserve">1.10.4</w:t>
              </w:r>
            </w:hyperlink>
            <w:r>
              <w:rPr>
                <w:sz w:val="24"/>
              </w:rPr>
              <w:t xml:space="preserve">; </w:t>
            </w:r>
            <w:hyperlink w:history="0" r:id="rId358" w:tooltip="Приказ Минздрава России от 19.03.2021 N 231н (ред. от 04.09.2024) &quot;Об утверждении Порядка проведения контроля объемов, сроков, качества и условий предоставления медицинской помощи по обязательному медицинскому страхованию застрахованным лицам, а также ее финансового обеспечения&quot; (Зарегистрировано в Минюсте России 13.05.2021 N 63410) {КонсультантПлюс}">
              <w:r>
                <w:rPr>
                  <w:sz w:val="24"/>
                  <w:color w:val="0000ff"/>
                </w:rPr>
                <w:t xml:space="preserve">1.10.5</w:t>
              </w:r>
            </w:hyperlink>
            <w:r>
              <w:rPr>
                <w:sz w:val="24"/>
              </w:rPr>
              <w:t xml:space="preserve">; </w:t>
            </w:r>
            <w:hyperlink w:history="0" r:id="rId359" w:tooltip="Приказ Минздрава России от 19.03.2021 N 231н (ред. от 04.09.2024) &quot;Об утверждении Порядка проведения контроля объемов, сроков, качества и условий предоставления медицинской помощи по обязательному медицинскому страхованию застрахованным лицам, а также ее финансового обеспечения&quot; (Зарегистрировано в Минюсте России 13.05.2021 N 63410) {КонсультантПлюс}">
              <w:r>
                <w:rPr>
                  <w:sz w:val="24"/>
                  <w:color w:val="0000ff"/>
                </w:rPr>
                <w:t xml:space="preserve">1.10.6</w:t>
              </w:r>
            </w:hyperlink>
            <w:r>
              <w:rPr>
                <w:sz w:val="24"/>
              </w:rPr>
              <w:t xml:space="preserve">; </w:t>
            </w:r>
            <w:hyperlink w:history="0" r:id="rId360" w:tooltip="Приказ Минздрава России от 19.03.2021 N 231н (ред. от 04.09.2024) &quot;Об утверждении Порядка проведения контроля объемов, сроков, качества и условий предоставления медицинской помощи по обязательному медицинскому страхованию застрахованным лицам, а также ее финансового обеспечения&quot; (Зарегистрировано в Минюсте России 13.05.2021 N 63410) {КонсультантПлюс}">
              <w:r>
                <w:rPr>
                  <w:sz w:val="24"/>
                  <w:color w:val="0000ff"/>
                </w:rPr>
                <w:t xml:space="preserve">2.2</w:t>
              </w:r>
            </w:hyperlink>
            <w:r>
              <w:rPr>
                <w:sz w:val="24"/>
              </w:rPr>
              <w:t xml:space="preserve">; </w:t>
            </w:r>
            <w:hyperlink w:history="0" r:id="rId361" w:tooltip="Приказ Минздрава России от 19.03.2021 N 231н (ред. от 04.09.2024) &quot;Об утверждении Порядка проведения контроля объемов, сроков, качества и условий предоставления медицинской помощи по обязательному медицинскому страхованию застрахованным лицам, а также ее финансового обеспечения&quot; (Зарегистрировано в Минюсте России 13.05.2021 N 63410) {КонсультантПлюс}">
              <w:r>
                <w:rPr>
                  <w:sz w:val="24"/>
                  <w:color w:val="0000ff"/>
                </w:rPr>
                <w:t xml:space="preserve">2.7</w:t>
              </w:r>
            </w:hyperlink>
            <w:r>
              <w:rPr>
                <w:sz w:val="24"/>
              </w:rPr>
              <w:t xml:space="preserve">; </w:t>
            </w:r>
            <w:hyperlink w:history="0" r:id="rId362" w:tooltip="Приказ Минздрава России от 19.03.2021 N 231н (ред. от 04.09.2024) &quot;Об утверждении Порядка проведения контроля объемов, сроков, качества и условий предоставления медицинской помощи по обязательному медицинскому страхованию застрахованным лицам, а также ее финансового обеспечения&quot; (Зарегистрировано в Минюсте России 13.05.2021 N 63410) {КонсультантПлюс}">
              <w:r>
                <w:rPr>
                  <w:sz w:val="24"/>
                  <w:color w:val="0000ff"/>
                </w:rPr>
                <w:t xml:space="preserve">2.8</w:t>
              </w:r>
            </w:hyperlink>
            <w:r>
              <w:rPr>
                <w:sz w:val="24"/>
              </w:rPr>
              <w:t xml:space="preserve">; </w:t>
            </w:r>
            <w:hyperlink w:history="0" r:id="rId363" w:tooltip="Приказ Минздрава России от 19.03.2021 N 231н (ред. от 04.09.2024) &quot;Об утверждении Порядка проведения контроля объемов, сроков, качества и условий предоставления медицинской помощи по обязательному медицинскому страхованию застрахованным лицам, а также ее финансового обеспечения&quot; (Зарегистрировано в Минюсте России 13.05.2021 N 63410) {КонсультантПлюс}">
              <w:r>
                <w:rPr>
                  <w:sz w:val="24"/>
                  <w:color w:val="0000ff"/>
                </w:rPr>
                <w:t xml:space="preserve">2.12</w:t>
              </w:r>
            </w:hyperlink>
            <w:r>
              <w:rPr>
                <w:sz w:val="24"/>
              </w:rPr>
              <w:t xml:space="preserve">; </w:t>
            </w:r>
            <w:hyperlink w:history="0" r:id="rId364" w:tooltip="Приказ Минздрава России от 19.03.2021 N 231н (ред. от 04.09.2024) &quot;Об утверждении Порядка проведения контроля объемов, сроков, качества и условий предоставления медицинской помощи по обязательному медицинскому страхованию застрахованным лицам, а также ее финансового обеспечения&quot; (Зарегистрировано в Минюсте России 13.05.2021 N 63410) {КонсультантПлюс}">
              <w:r>
                <w:rPr>
                  <w:sz w:val="24"/>
                  <w:color w:val="0000ff"/>
                </w:rPr>
                <w:t xml:space="preserve">2.15</w:t>
              </w:r>
            </w:hyperlink>
            <w:r>
              <w:rPr>
                <w:sz w:val="24"/>
              </w:rPr>
              <w:t xml:space="preserve">; </w:t>
            </w:r>
            <w:hyperlink w:history="0" r:id="rId365" w:tooltip="Приказ Минздрава России от 19.03.2021 N 231н (ред. от 04.09.2024) &quot;Об утверждении Порядка проведения контроля объемов, сроков, качества и условий предоставления медицинской помощи по обязательному медицинскому страхованию застрахованным лицам, а также ее финансового обеспечения&quot; (Зарегистрировано в Минюсте России 13.05.2021 N 63410) {КонсультантПлюс}">
              <w:r>
                <w:rPr>
                  <w:sz w:val="24"/>
                  <w:color w:val="0000ff"/>
                </w:rPr>
                <w:t xml:space="preserve">2.16.2</w:t>
              </w:r>
            </w:hyperlink>
            <w:r>
              <w:rPr>
                <w:sz w:val="24"/>
              </w:rPr>
              <w:t xml:space="preserve">; </w:t>
            </w:r>
            <w:hyperlink w:history="0" r:id="rId366" w:tooltip="Приказ Минздрава России от 19.03.2021 N 231н (ред. от 04.09.2024) &quot;Об утверждении Порядка проведения контроля объемов, сроков, качества и условий предоставления медицинской помощи по обязательному медицинскому страхованию застрахованным лицам, а также ее финансового обеспечения&quot; (Зарегистрировано в Минюсте России 13.05.2021 N 63410) {КонсультантПлюс}">
              <w:r>
                <w:rPr>
                  <w:sz w:val="24"/>
                  <w:color w:val="0000ff"/>
                </w:rPr>
                <w:t xml:space="preserve">2.16.3</w:t>
              </w:r>
            </w:hyperlink>
            <w:r>
              <w:rPr>
                <w:sz w:val="24"/>
              </w:rPr>
              <w:t xml:space="preserve">; </w:t>
            </w:r>
            <w:hyperlink w:history="0" r:id="rId367" w:tooltip="Приказ Минздрава России от 19.03.2021 N 231н (ред. от 04.09.2024) &quot;Об утверждении Порядка проведения контроля объемов, сроков, качества и условий предоставления медицинской помощи по обязательному медицинскому страхованию застрахованным лицам, а также ее финансового обеспечения&quot; (Зарегистрировано в Минюсте России 13.05.2021 N 63410) {КонсультантПлюс}">
              <w:r>
                <w:rPr>
                  <w:sz w:val="24"/>
                  <w:color w:val="0000ff"/>
                </w:rPr>
                <w:t xml:space="preserve">3.1.5</w:t>
              </w:r>
            </w:hyperlink>
            <w:r>
              <w:rPr>
                <w:sz w:val="24"/>
              </w:rPr>
              <w:t xml:space="preserve">; </w:t>
            </w:r>
            <w:hyperlink w:history="0" r:id="rId368" w:tooltip="Приказ Минздрава России от 19.03.2021 N 231н (ред. от 04.09.2024) &quot;Об утверждении Порядка проведения контроля объемов, сроков, качества и условий предоставления медицинской помощи по обязательному медицинскому страхованию застрахованным лицам, а также ее финансового обеспечения&quot; (Зарегистрировано в Минюсте России 13.05.2021 N 63410) {КонсультантПлюс}">
              <w:r>
                <w:rPr>
                  <w:sz w:val="24"/>
                  <w:color w:val="0000ff"/>
                </w:rPr>
                <w:t xml:space="preserve">3.2.4</w:t>
              </w:r>
            </w:hyperlink>
            <w:r>
              <w:rPr>
                <w:sz w:val="24"/>
              </w:rPr>
              <w:t xml:space="preserve">; </w:t>
            </w:r>
            <w:hyperlink w:history="0" r:id="rId369" w:tooltip="Приказ Минздрава России от 19.03.2021 N 231н (ред. от 04.09.2024) &quot;Об утверждении Порядка проведения контроля объемов, сроков, качества и условий предоставления медицинской помощи по обязательному медицинскому страхованию застрахованным лицам, а также ее финансового обеспечения&quot; (Зарегистрировано в Минюсте России 13.05.2021 N 63410) {КонсультантПлюс}">
              <w:r>
                <w:rPr>
                  <w:sz w:val="24"/>
                  <w:color w:val="0000ff"/>
                </w:rPr>
                <w:t xml:space="preserve">3.7</w:t>
              </w:r>
            </w:hyperlink>
            <w:r>
              <w:rPr>
                <w:sz w:val="24"/>
              </w:rPr>
              <w:t xml:space="preserve">; </w:t>
            </w:r>
            <w:hyperlink w:history="0" r:id="rId370" w:tooltip="Приказ Минздрава России от 19.03.2021 N 231н (ред. от 04.09.2024) &quot;Об утверждении Порядка проведения контроля объемов, сроков, качества и условий предоставления медицинской помощи по обязательному медицинскому страхованию застрахованным лицам, а также ее финансового обеспечения&quot; (Зарегистрировано в Минюсте России 13.05.2021 N 63410) {КонсультантПлюс}">
              <w:r>
                <w:rPr>
                  <w:sz w:val="24"/>
                  <w:color w:val="0000ff"/>
                </w:rPr>
                <w:t xml:space="preserve">3.8</w:t>
              </w:r>
            </w:hyperlink>
            <w:r>
              <w:rPr>
                <w:sz w:val="24"/>
              </w:rPr>
              <w:t xml:space="preserve">; </w:t>
            </w:r>
            <w:hyperlink w:history="0" r:id="rId371" w:tooltip="Приказ Минздрава России от 19.03.2021 N 231н (ред. от 04.09.2024) &quot;Об утверждении Порядка проведения контроля объемов, сроков, качества и условий предоставления медицинской помощи по обязательному медицинскому страхованию застрахованным лицам, а также ее финансового обеспечения&quot; (Зарегистрировано в Минюсте России 13.05.2021 N 63410) {КонсультантПлюс}">
              <w:r>
                <w:rPr>
                  <w:sz w:val="24"/>
                  <w:color w:val="0000ff"/>
                </w:rPr>
                <w:t xml:space="preserve">3.9</w:t>
              </w:r>
            </w:hyperlink>
          </w:p>
        </w:tc>
      </w:tr>
      <w:tr>
        <w:tc>
          <w:tcPr>
            <w:gridSpan w:val="2"/>
            <w:tcW w:w="9070" w:type="dxa"/>
          </w:tcPr>
          <w:p>
            <w:pPr>
              <w:pStyle w:val="0"/>
              <w:outlineLvl w:val="2"/>
              <w:jc w:val="center"/>
            </w:pPr>
            <w:r>
              <w:rPr>
                <w:sz w:val="24"/>
              </w:rPr>
              <w:t xml:space="preserve">Для определения размера штрафных санкций за неоказание, несвоевременное оказание либо оказание медицинской помощи ненадлежащего качества</w:t>
            </w:r>
          </w:p>
        </w:tc>
      </w:tr>
      <w:tr>
        <w:tc>
          <w:tcPr>
            <w:tcW w:w="1700" w:type="dxa"/>
          </w:tcPr>
          <w:p>
            <w:pPr>
              <w:pStyle w:val="0"/>
              <w:jc w:val="center"/>
            </w:pPr>
            <w:r>
              <w:rPr>
                <w:sz w:val="24"/>
              </w:rPr>
              <w:t xml:space="preserve">0</w:t>
            </w:r>
          </w:p>
        </w:tc>
        <w:tc>
          <w:tcPr>
            <w:tcW w:w="7370" w:type="dxa"/>
          </w:tcPr>
          <w:p>
            <w:pPr>
              <w:pStyle w:val="0"/>
              <w:jc w:val="both"/>
            </w:pPr>
            <w:hyperlink w:history="0" r:id="rId372" w:tooltip="Приказ Минздрава России от 19.03.2021 N 231н (ред. от 04.09.2024) &quot;Об утверждении Порядка проведения контроля объемов, сроков, качества и условий предоставления медицинской помощи по обязательному медицинскому страхованию застрахованным лицам, а также ее финансового обеспечения&quot; (Зарегистрировано в Минюсте России 13.05.2021 N 63410) {КонсультантПлюс}">
              <w:r>
                <w:rPr>
                  <w:sz w:val="24"/>
                  <w:color w:val="0000ff"/>
                </w:rPr>
                <w:t xml:space="preserve">1.4.1</w:t>
              </w:r>
            </w:hyperlink>
            <w:r>
              <w:rPr>
                <w:sz w:val="24"/>
              </w:rPr>
              <w:t xml:space="preserve">; </w:t>
            </w:r>
            <w:hyperlink w:history="0" r:id="rId373" w:tooltip="Приказ Минздрава России от 19.03.2021 N 231н (ред. от 04.09.2024) &quot;Об утверждении Порядка проведения контроля объемов, сроков, качества и условий предоставления медицинской помощи по обязательному медицинскому страхованию застрахованным лицам, а также ее финансового обеспечения&quot; (Зарегистрировано в Минюсте России 13.05.2021 N 63410) {КонсультантПлюс}">
              <w:r>
                <w:rPr>
                  <w:sz w:val="24"/>
                  <w:color w:val="0000ff"/>
                </w:rPr>
                <w:t xml:space="preserve">1.4.2</w:t>
              </w:r>
            </w:hyperlink>
            <w:r>
              <w:rPr>
                <w:sz w:val="24"/>
              </w:rPr>
              <w:t xml:space="preserve">; </w:t>
            </w:r>
            <w:hyperlink w:history="0" r:id="rId374" w:tooltip="Приказ Минздрава России от 19.03.2021 N 231н (ред. от 04.09.2024) &quot;Об утверждении Порядка проведения контроля объемов, сроков, качества и условий предоставления медицинской помощи по обязательному медицинскому страхованию застрахованным лицам, а также ее финансового обеспечения&quot; (Зарегистрировано в Минюсте России 13.05.2021 N 63410) {КонсультантПлюс}">
              <w:r>
                <w:rPr>
                  <w:sz w:val="24"/>
                  <w:color w:val="0000ff"/>
                </w:rPr>
                <w:t xml:space="preserve">1.4.3</w:t>
              </w:r>
            </w:hyperlink>
            <w:r>
              <w:rPr>
                <w:sz w:val="24"/>
              </w:rPr>
              <w:t xml:space="preserve">; </w:t>
            </w:r>
            <w:hyperlink w:history="0" r:id="rId375" w:tooltip="Приказ Минздрава России от 19.03.2021 N 231н (ред. от 04.09.2024) &quot;Об утверждении Порядка проведения контроля объемов, сроков, качества и условий предоставления медицинской помощи по обязательному медицинскому страхованию застрахованным лицам, а также ее финансового обеспечения&quot; (Зарегистрировано в Минюсте России 13.05.2021 N 63410) {КонсультантПлюс}">
              <w:r>
                <w:rPr>
                  <w:sz w:val="24"/>
                  <w:color w:val="0000ff"/>
                </w:rPr>
                <w:t xml:space="preserve">1.4.4</w:t>
              </w:r>
            </w:hyperlink>
            <w:r>
              <w:rPr>
                <w:sz w:val="24"/>
              </w:rPr>
              <w:t xml:space="preserve">; </w:t>
            </w:r>
            <w:hyperlink w:history="0" r:id="rId376" w:tooltip="Приказ Минздрава России от 19.03.2021 N 231н (ред. от 04.09.2024) &quot;Об утверждении Порядка проведения контроля объемов, сроков, качества и условий предоставления медицинской помощи по обязательному медицинскому страхованию застрахованным лицам, а также ее финансового обеспечения&quot; (Зарегистрировано в Минюсте России 13.05.2021 N 63410) {КонсультантПлюс}">
              <w:r>
                <w:rPr>
                  <w:sz w:val="24"/>
                  <w:color w:val="0000ff"/>
                </w:rPr>
                <w:t xml:space="preserve">1.4.5</w:t>
              </w:r>
            </w:hyperlink>
            <w:r>
              <w:rPr>
                <w:sz w:val="24"/>
              </w:rPr>
              <w:t xml:space="preserve">; </w:t>
            </w:r>
            <w:hyperlink w:history="0" r:id="rId377" w:tooltip="Приказ Минздрава России от 19.03.2021 N 231н (ред. от 04.09.2024) &quot;Об утверждении Порядка проведения контроля объемов, сроков, качества и условий предоставления медицинской помощи по обязательному медицинскому страхованию застрахованным лицам, а также ее финансового обеспечения&quot; (Зарегистрировано в Минюсте России 13.05.2021 N 63410) {КонсультантПлюс}">
              <w:r>
                <w:rPr>
                  <w:sz w:val="24"/>
                  <w:color w:val="0000ff"/>
                </w:rPr>
                <w:t xml:space="preserve">1.4.6</w:t>
              </w:r>
            </w:hyperlink>
            <w:r>
              <w:rPr>
                <w:sz w:val="24"/>
              </w:rPr>
              <w:t xml:space="preserve">; </w:t>
            </w:r>
            <w:hyperlink w:history="0" r:id="rId378" w:tooltip="Приказ Минздрава России от 19.03.2021 N 231н (ред. от 04.09.2024) &quot;Об утверждении Порядка проведения контроля объемов, сроков, качества и условий предоставления медицинской помощи по обязательному медицинскому страхованию застрахованным лицам, а также ее финансового обеспечения&quot; (Зарегистрировано в Минюсте России 13.05.2021 N 63410) {КонсультантПлюс}">
              <w:r>
                <w:rPr>
                  <w:sz w:val="24"/>
                  <w:color w:val="0000ff"/>
                </w:rPr>
                <w:t xml:space="preserve">1.5</w:t>
              </w:r>
            </w:hyperlink>
            <w:r>
              <w:rPr>
                <w:sz w:val="24"/>
              </w:rPr>
              <w:t xml:space="preserve">; </w:t>
            </w:r>
            <w:hyperlink w:history="0" r:id="rId379" w:tooltip="Приказ Минздрава России от 19.03.2021 N 231н (ред. от 04.09.2024) &quot;Об утверждении Порядка проведения контроля объемов, сроков, качества и условий предоставления медицинской помощи по обязательному медицинскому страхованию застрахованным лицам, а также ее финансового обеспечения&quot; (Зарегистрировано в Минюсте России 13.05.2021 N 63410) {КонсультантПлюс}">
              <w:r>
                <w:rPr>
                  <w:sz w:val="24"/>
                  <w:color w:val="0000ff"/>
                </w:rPr>
                <w:t xml:space="preserve">1.6.1</w:t>
              </w:r>
            </w:hyperlink>
            <w:r>
              <w:rPr>
                <w:sz w:val="24"/>
              </w:rPr>
              <w:t xml:space="preserve">; </w:t>
            </w:r>
            <w:hyperlink w:history="0" r:id="rId380" w:tooltip="Приказ Минздрава России от 19.03.2021 N 231н (ред. от 04.09.2024) &quot;Об утверждении Порядка проведения контроля объемов, сроков, качества и условий предоставления медицинской помощи по обязательному медицинскому страхованию застрахованным лицам, а также ее финансового обеспечения&quot; (Зарегистрировано в Минюсте России 13.05.2021 N 63410) {КонсультантПлюс}">
              <w:r>
                <w:rPr>
                  <w:sz w:val="24"/>
                  <w:color w:val="0000ff"/>
                </w:rPr>
                <w:t xml:space="preserve">1.6.2</w:t>
              </w:r>
            </w:hyperlink>
            <w:r>
              <w:rPr>
                <w:sz w:val="24"/>
              </w:rPr>
              <w:t xml:space="preserve">; </w:t>
            </w:r>
            <w:hyperlink w:history="0" r:id="rId381" w:tooltip="Приказ Минздрава России от 19.03.2021 N 231н (ред. от 04.09.2024) &quot;Об утверждении Порядка проведения контроля объемов, сроков, качества и условий предоставления медицинской помощи по обязательному медицинскому страхованию застрахованным лицам, а также ее финансового обеспечения&quot; (Зарегистрировано в Минюсте России 13.05.2021 N 63410) {КонсультантПлюс}">
              <w:r>
                <w:rPr>
                  <w:sz w:val="24"/>
                  <w:color w:val="0000ff"/>
                </w:rPr>
                <w:t xml:space="preserve">1.6.3</w:t>
              </w:r>
            </w:hyperlink>
            <w:r>
              <w:rPr>
                <w:sz w:val="24"/>
              </w:rPr>
              <w:t xml:space="preserve">; </w:t>
            </w:r>
            <w:hyperlink w:history="0" r:id="rId382" w:tooltip="Приказ Минздрава России от 19.03.2021 N 231н (ред. от 04.09.2024) &quot;Об утверждении Порядка проведения контроля объемов, сроков, качества и условий предоставления медицинской помощи по обязательному медицинскому страхованию застрахованным лицам, а также ее финансового обеспечения&quot; (Зарегистрировано в Минюсте России 13.05.2021 N 63410) {КонсультантПлюс}">
              <w:r>
                <w:rPr>
                  <w:sz w:val="24"/>
                  <w:color w:val="0000ff"/>
                </w:rPr>
                <w:t xml:space="preserve">1.6.4</w:t>
              </w:r>
            </w:hyperlink>
            <w:r>
              <w:rPr>
                <w:sz w:val="24"/>
              </w:rPr>
              <w:t xml:space="preserve">; </w:t>
            </w:r>
            <w:hyperlink w:history="0" r:id="rId383" w:tooltip="Приказ Минздрава России от 19.03.2021 N 231н (ред. от 04.09.2024) &quot;Об утверждении Порядка проведения контроля объемов, сроков, качества и условий предоставления медицинской помощи по обязательному медицинскому страхованию застрахованным лицам, а также ее финансового обеспечения&quot; (Зарегистрировано в Минюсте России 13.05.2021 N 63410) {КонсультантПлюс}">
              <w:r>
                <w:rPr>
                  <w:sz w:val="24"/>
                  <w:color w:val="0000ff"/>
                </w:rPr>
                <w:t xml:space="preserve">1.7.1</w:t>
              </w:r>
            </w:hyperlink>
            <w:r>
              <w:rPr>
                <w:sz w:val="24"/>
              </w:rPr>
              <w:t xml:space="preserve">; </w:t>
            </w:r>
            <w:hyperlink w:history="0" r:id="rId384" w:tooltip="Приказ Минздрава России от 19.03.2021 N 231н (ред. от 04.09.2024) &quot;Об утверждении Порядка проведения контроля объемов, сроков, качества и условий предоставления медицинской помощи по обязательному медицинскому страхованию застрахованным лицам, а также ее финансового обеспечения&quot; (Зарегистрировано в Минюсте России 13.05.2021 N 63410) {КонсультантПлюс}">
              <w:r>
                <w:rPr>
                  <w:sz w:val="24"/>
                  <w:color w:val="0000ff"/>
                </w:rPr>
                <w:t xml:space="preserve">1.7.2</w:t>
              </w:r>
            </w:hyperlink>
            <w:r>
              <w:rPr>
                <w:sz w:val="24"/>
              </w:rPr>
              <w:t xml:space="preserve">; </w:t>
            </w:r>
            <w:hyperlink w:history="0" r:id="rId385" w:tooltip="Приказ Минздрава России от 19.03.2021 N 231н (ред. от 04.09.2024) &quot;Об утверждении Порядка проведения контроля объемов, сроков, качества и условий предоставления медицинской помощи по обязательному медицинскому страхованию застрахованным лицам, а также ее финансового обеспечения&quot; (Зарегистрировано в Минюсте России 13.05.2021 N 63410) {КонсультантПлюс}">
              <w:r>
                <w:rPr>
                  <w:sz w:val="24"/>
                  <w:color w:val="0000ff"/>
                </w:rPr>
                <w:t xml:space="preserve">1.8.1</w:t>
              </w:r>
            </w:hyperlink>
            <w:r>
              <w:rPr>
                <w:sz w:val="24"/>
              </w:rPr>
              <w:t xml:space="preserve">; </w:t>
            </w:r>
            <w:hyperlink w:history="0" r:id="rId386" w:tooltip="Приказ Минздрава России от 19.03.2021 N 231н (ред. от 04.09.2024) &quot;Об утверждении Порядка проведения контроля объемов, сроков, качества и условий предоставления медицинской помощи по обязательному медицинскому страхованию застрахованным лицам, а также ее финансового обеспечения&quot; (Зарегистрировано в Минюсте России 13.05.2021 N 63410) {КонсультантПлюс}">
              <w:r>
                <w:rPr>
                  <w:sz w:val="24"/>
                  <w:color w:val="0000ff"/>
                </w:rPr>
                <w:t xml:space="preserve">1.8.2</w:t>
              </w:r>
            </w:hyperlink>
            <w:r>
              <w:rPr>
                <w:sz w:val="24"/>
              </w:rPr>
              <w:t xml:space="preserve">; </w:t>
            </w:r>
            <w:hyperlink w:history="0" r:id="rId387" w:tooltip="Приказ Минздрава России от 19.03.2021 N 231н (ред. от 04.09.2024) &quot;Об утверждении Порядка проведения контроля объемов, сроков, качества и условий предоставления медицинской помощи по обязательному медицинскому страхованию застрахованным лицам, а также ее финансового обеспечения&quot; (Зарегистрировано в Минюсте России 13.05.2021 N 63410) {КонсультантПлюс}">
              <w:r>
                <w:rPr>
                  <w:sz w:val="24"/>
                  <w:color w:val="0000ff"/>
                </w:rPr>
                <w:t xml:space="preserve">1.8.3</w:t>
              </w:r>
            </w:hyperlink>
            <w:r>
              <w:rPr>
                <w:sz w:val="24"/>
              </w:rPr>
              <w:t xml:space="preserve">; </w:t>
            </w:r>
            <w:hyperlink w:history="0" r:id="rId388" w:tooltip="Приказ Минздрава России от 19.03.2021 N 231н (ред. от 04.09.2024) &quot;Об утверждении Порядка проведения контроля объемов, сроков, качества и условий предоставления медицинской помощи по обязательному медицинскому страхованию застрахованным лицам, а также ее финансового обеспечения&quot; (Зарегистрировано в Минюсте России 13.05.2021 N 63410) {КонсультантПлюс}">
              <w:r>
                <w:rPr>
                  <w:sz w:val="24"/>
                  <w:color w:val="0000ff"/>
                </w:rPr>
                <w:t xml:space="preserve">1.9</w:t>
              </w:r>
            </w:hyperlink>
            <w:r>
              <w:rPr>
                <w:sz w:val="24"/>
              </w:rPr>
              <w:t xml:space="preserve">; </w:t>
            </w:r>
            <w:hyperlink w:history="0" r:id="rId389" w:tooltip="Приказ Минздрава России от 19.03.2021 N 231н (ред. от 04.09.2024) &quot;Об утверждении Порядка проведения контроля объемов, сроков, качества и условий предоставления медицинской помощи по обязательному медицинскому страхованию застрахованным лицам, а также ее финансового обеспечения&quot; (Зарегистрировано в Минюсте России 13.05.2021 N 63410) {КонсультантПлюс}">
              <w:r>
                <w:rPr>
                  <w:sz w:val="24"/>
                  <w:color w:val="0000ff"/>
                </w:rPr>
                <w:t xml:space="preserve">1.10.1</w:t>
              </w:r>
            </w:hyperlink>
            <w:r>
              <w:rPr>
                <w:sz w:val="24"/>
              </w:rPr>
              <w:t xml:space="preserve">; </w:t>
            </w:r>
            <w:hyperlink w:history="0" r:id="rId390" w:tooltip="Приказ Минздрава России от 19.03.2021 N 231н (ред. от 04.09.2024) &quot;Об утверждении Порядка проведения контроля объемов, сроков, качества и условий предоставления медицинской помощи по обязательному медицинскому страхованию застрахованным лицам, а также ее финансового обеспечения&quot; (Зарегистрировано в Минюсте России 13.05.2021 N 63410) {КонсультантПлюс}">
              <w:r>
                <w:rPr>
                  <w:sz w:val="24"/>
                  <w:color w:val="0000ff"/>
                </w:rPr>
                <w:t xml:space="preserve">1.10.2</w:t>
              </w:r>
            </w:hyperlink>
            <w:r>
              <w:rPr>
                <w:sz w:val="24"/>
              </w:rPr>
              <w:t xml:space="preserve">; </w:t>
            </w:r>
            <w:hyperlink w:history="0" r:id="rId391" w:tooltip="Приказ Минздрава России от 19.03.2021 N 231н (ред. от 04.09.2024) &quot;Об утверждении Порядка проведения контроля объемов, сроков, качества и условий предоставления медицинской помощи по обязательному медицинскому страхованию застрахованным лицам, а также ее финансового обеспечения&quot; (Зарегистрировано в Минюсте России 13.05.2021 N 63410) {КонсультантПлюс}">
              <w:r>
                <w:rPr>
                  <w:sz w:val="24"/>
                  <w:color w:val="0000ff"/>
                </w:rPr>
                <w:t xml:space="preserve">1.10.3</w:t>
              </w:r>
            </w:hyperlink>
            <w:r>
              <w:rPr>
                <w:sz w:val="24"/>
              </w:rPr>
              <w:t xml:space="preserve">; </w:t>
            </w:r>
            <w:hyperlink w:history="0" r:id="rId392" w:tooltip="Приказ Минздрава России от 19.03.2021 N 231н (ред. от 04.09.2024) &quot;Об утверждении Порядка проведения контроля объемов, сроков, качества и условий предоставления медицинской помощи по обязательному медицинскому страхованию застрахованным лицам, а также ее финансового обеспечения&quot; (Зарегистрировано в Минюсте России 13.05.2021 N 63410) {КонсультантПлюс}">
              <w:r>
                <w:rPr>
                  <w:sz w:val="24"/>
                  <w:color w:val="0000ff"/>
                </w:rPr>
                <w:t xml:space="preserve">1.10.4</w:t>
              </w:r>
            </w:hyperlink>
            <w:r>
              <w:rPr>
                <w:sz w:val="24"/>
              </w:rPr>
              <w:t xml:space="preserve">; </w:t>
            </w:r>
            <w:hyperlink w:history="0" r:id="rId393" w:tooltip="Приказ Минздрава России от 19.03.2021 N 231н (ред. от 04.09.2024) &quot;Об утверждении Порядка проведения контроля объемов, сроков, качества и условий предоставления медицинской помощи по обязательному медицинскому страхованию застрахованным лицам, а также ее финансового обеспечения&quot; (Зарегистрировано в Минюсте России 13.05.2021 N 63410) {КонсультантПлюс}">
              <w:r>
                <w:rPr>
                  <w:sz w:val="24"/>
                  <w:color w:val="0000ff"/>
                </w:rPr>
                <w:t xml:space="preserve">1.10.5</w:t>
              </w:r>
            </w:hyperlink>
            <w:r>
              <w:rPr>
                <w:sz w:val="24"/>
              </w:rPr>
              <w:t xml:space="preserve">; </w:t>
            </w:r>
            <w:hyperlink w:history="0" r:id="rId394" w:tooltip="Приказ Минздрава России от 19.03.2021 N 231н (ред. от 04.09.2024) &quot;Об утверждении Порядка проведения контроля объемов, сроков, качества и условий предоставления медицинской помощи по обязательному медицинскому страхованию застрахованным лицам, а также ее финансового обеспечения&quot; (Зарегистрировано в Минюсте России 13.05.2021 N 63410) {КонсультантПлюс}">
              <w:r>
                <w:rPr>
                  <w:sz w:val="24"/>
                  <w:color w:val="0000ff"/>
                </w:rPr>
                <w:t xml:space="preserve">1.10.6</w:t>
              </w:r>
            </w:hyperlink>
            <w:r>
              <w:rPr>
                <w:sz w:val="24"/>
              </w:rPr>
              <w:t xml:space="preserve">; </w:t>
            </w:r>
            <w:hyperlink w:history="0" r:id="rId395" w:tooltip="Приказ Минздрава России от 19.03.2021 N 231н (ред. от 04.09.2024) &quot;Об утверждении Порядка проведения контроля объемов, сроков, качества и условий предоставления медицинской помощи по обязательному медицинскому страхованию застрахованным лицам, а также ее финансового обеспечения&quot; (Зарегистрировано в Минюсте России 13.05.2021 N 63410) {КонсультантПлюс}">
              <w:r>
                <w:rPr>
                  <w:sz w:val="24"/>
                  <w:color w:val="0000ff"/>
                </w:rPr>
                <w:t xml:space="preserve">2.12</w:t>
              </w:r>
            </w:hyperlink>
            <w:r>
              <w:rPr>
                <w:sz w:val="24"/>
              </w:rPr>
              <w:t xml:space="preserve">; </w:t>
            </w:r>
            <w:hyperlink w:history="0" r:id="rId396" w:tooltip="Приказ Минздрава России от 19.03.2021 N 231н (ред. от 04.09.2024) &quot;Об утверждении Порядка проведения контроля объемов, сроков, качества и условий предоставления медицинской помощи по обязательному медицинскому страхованию застрахованным лицам, а также ее финансового обеспечения&quot; (Зарегистрировано в Минюсте России 13.05.2021 N 63410) {КонсультантПлюс}">
              <w:r>
                <w:rPr>
                  <w:sz w:val="24"/>
                  <w:color w:val="0000ff"/>
                </w:rPr>
                <w:t xml:space="preserve">2.13</w:t>
              </w:r>
            </w:hyperlink>
            <w:r>
              <w:rPr>
                <w:sz w:val="24"/>
              </w:rPr>
              <w:t xml:space="preserve">; </w:t>
            </w:r>
            <w:hyperlink w:history="0" r:id="rId397" w:tooltip="Приказ Минздрава России от 19.03.2021 N 231н (ред. от 04.09.2024) &quot;Об утверждении Порядка проведения контроля объемов, сроков, качества и условий предоставления медицинской помощи по обязательному медицинскому страхованию застрахованным лицам, а также ее финансового обеспечения&quot; (Зарегистрировано в Минюсте России 13.05.2021 N 63410) {КонсультантПлюс}">
              <w:r>
                <w:rPr>
                  <w:sz w:val="24"/>
                  <w:color w:val="0000ff"/>
                </w:rPr>
                <w:t xml:space="preserve">2.14</w:t>
              </w:r>
            </w:hyperlink>
            <w:r>
              <w:rPr>
                <w:sz w:val="24"/>
              </w:rPr>
              <w:t xml:space="preserve">; </w:t>
            </w:r>
            <w:hyperlink w:history="0" r:id="rId398" w:tooltip="Приказ Минздрава России от 19.03.2021 N 231н (ред. от 04.09.2024) &quot;Об утверждении Порядка проведения контроля объемов, сроков, качества и условий предоставления медицинской помощи по обязательному медицинскому страхованию застрахованным лицам, а также ее финансового обеспечения&quot; (Зарегистрировано в Минюсте России 13.05.2021 N 63410) {КонсультантПлюс}">
              <w:r>
                <w:rPr>
                  <w:sz w:val="24"/>
                  <w:color w:val="0000ff"/>
                </w:rPr>
                <w:t xml:space="preserve">2.15</w:t>
              </w:r>
            </w:hyperlink>
            <w:r>
              <w:rPr>
                <w:sz w:val="24"/>
              </w:rPr>
              <w:t xml:space="preserve">; </w:t>
            </w:r>
            <w:hyperlink w:history="0" r:id="rId399" w:tooltip="Приказ Минздрава России от 19.03.2021 N 231н (ред. от 04.09.2024) &quot;Об утверждении Порядка проведения контроля объемов, сроков, качества и условий предоставления медицинской помощи по обязательному медицинскому страхованию застрахованным лицам, а также ее финансового обеспечения&quot; (Зарегистрировано в Минюсте России 13.05.2021 N 63410) {КонсультантПлюс}">
              <w:r>
                <w:rPr>
                  <w:sz w:val="24"/>
                  <w:color w:val="0000ff"/>
                </w:rPr>
                <w:t xml:space="preserve">3.1.1</w:t>
              </w:r>
            </w:hyperlink>
            <w:r>
              <w:rPr>
                <w:sz w:val="24"/>
              </w:rPr>
              <w:t xml:space="preserve">; </w:t>
            </w:r>
            <w:hyperlink w:history="0" r:id="rId400" w:tooltip="Приказ Минздрава России от 19.03.2021 N 231н (ред. от 04.09.2024) &quot;Об утверждении Порядка проведения контроля объемов, сроков, качества и условий предоставления медицинской помощи по обязательному медицинскому страхованию застрахованным лицам, а также ее финансового обеспечения&quot; (Зарегистрировано в Минюсте России 13.05.2021 N 63410) {КонсультантПлюс}">
              <w:r>
                <w:rPr>
                  <w:sz w:val="24"/>
                  <w:color w:val="0000ff"/>
                </w:rPr>
                <w:t xml:space="preserve">3.1.2</w:t>
              </w:r>
            </w:hyperlink>
            <w:r>
              <w:rPr>
                <w:sz w:val="24"/>
              </w:rPr>
              <w:t xml:space="preserve">; </w:t>
            </w:r>
            <w:hyperlink w:history="0" r:id="rId401" w:tooltip="Приказ Минздрава России от 19.03.2021 N 231н (ред. от 04.09.2024) &quot;Об утверждении Порядка проведения контроля объемов, сроков, качества и условий предоставления медицинской помощи по обязательному медицинскому страхованию застрахованным лицам, а также ее финансового обеспечения&quot; (Зарегистрировано в Минюсте России 13.05.2021 N 63410) {КонсультантПлюс}">
              <w:r>
                <w:rPr>
                  <w:sz w:val="24"/>
                  <w:color w:val="0000ff"/>
                </w:rPr>
                <w:t xml:space="preserve">3.2.1</w:t>
              </w:r>
            </w:hyperlink>
            <w:r>
              <w:rPr>
                <w:sz w:val="24"/>
              </w:rPr>
              <w:t xml:space="preserve">; </w:t>
            </w:r>
            <w:hyperlink w:history="0" r:id="rId402" w:tooltip="Приказ Минздрава России от 19.03.2021 N 231н (ред. от 04.09.2024) &quot;Об утверждении Порядка проведения контроля объемов, сроков, качества и условий предоставления медицинской помощи по обязательному медицинскому страхованию застрахованным лицам, а также ее финансового обеспечения&quot; (Зарегистрировано в Минюсте России 13.05.2021 N 63410) {КонсультантПлюс}">
              <w:r>
                <w:rPr>
                  <w:sz w:val="24"/>
                  <w:color w:val="0000ff"/>
                </w:rPr>
                <w:t xml:space="preserve">3.5</w:t>
              </w:r>
            </w:hyperlink>
            <w:r>
              <w:rPr>
                <w:sz w:val="24"/>
              </w:rPr>
              <w:t xml:space="preserve">; </w:t>
            </w:r>
            <w:hyperlink w:history="0" r:id="rId403" w:tooltip="Приказ Минздрава России от 19.03.2021 N 231н (ред. от 04.09.2024) &quot;Об утверждении Порядка проведения контроля объемов, сроков, качества и условий предоставления медицинской помощи по обязательному медицинскому страхованию застрахованным лицам, а также ее финансового обеспечения&quot; (Зарегистрировано в Минюсте России 13.05.2021 N 63410) {КонсультантПлюс}">
              <w:r>
                <w:rPr>
                  <w:sz w:val="24"/>
                  <w:color w:val="0000ff"/>
                </w:rPr>
                <w:t xml:space="preserve">3.11</w:t>
              </w:r>
            </w:hyperlink>
          </w:p>
        </w:tc>
      </w:tr>
      <w:tr>
        <w:tc>
          <w:tcPr>
            <w:tcW w:w="1700" w:type="dxa"/>
          </w:tcPr>
          <w:p>
            <w:pPr>
              <w:pStyle w:val="0"/>
              <w:jc w:val="center"/>
            </w:pPr>
            <w:r>
              <w:rPr>
                <w:sz w:val="24"/>
              </w:rPr>
              <w:t xml:space="preserve">0,3</w:t>
            </w:r>
          </w:p>
        </w:tc>
        <w:tc>
          <w:tcPr>
            <w:tcW w:w="7370" w:type="dxa"/>
          </w:tcPr>
          <w:p>
            <w:pPr>
              <w:pStyle w:val="0"/>
              <w:jc w:val="both"/>
            </w:pPr>
            <w:hyperlink w:history="0" r:id="rId404" w:tooltip="Приказ Минздрава России от 19.03.2021 N 231н (ред. от 04.09.2024) &quot;Об утверждении Порядка проведения контроля объемов, сроков, качества и условий предоставления медицинской помощи по обязательному медицинскому страхованию застрахованным лицам, а также ее финансового обеспечения&quot; (Зарегистрировано в Минюсте России 13.05.2021 N 63410) {КонсультантПлюс}">
              <w:r>
                <w:rPr>
                  <w:sz w:val="24"/>
                  <w:color w:val="0000ff"/>
                </w:rPr>
                <w:t xml:space="preserve">1.1</w:t>
              </w:r>
            </w:hyperlink>
            <w:r>
              <w:rPr>
                <w:sz w:val="24"/>
              </w:rPr>
              <w:t xml:space="preserve">; </w:t>
            </w:r>
            <w:hyperlink w:history="0" r:id="rId405" w:tooltip="Приказ Минздрава России от 19.03.2021 N 231н (ред. от 04.09.2024) &quot;Об утверждении Порядка проведения контроля объемов, сроков, качества и условий предоставления медицинской помощи по обязательному медицинскому страхованию застрахованным лицам, а также ее финансового обеспечения&quot; (Зарегистрировано в Минюсте России 13.05.2021 N 63410) {КонсультантПлюс}">
              <w:r>
                <w:rPr>
                  <w:sz w:val="24"/>
                  <w:color w:val="0000ff"/>
                </w:rPr>
                <w:t xml:space="preserve">1.3</w:t>
              </w:r>
            </w:hyperlink>
            <w:r>
              <w:rPr>
                <w:sz w:val="24"/>
              </w:rPr>
              <w:t xml:space="preserve">; </w:t>
            </w:r>
            <w:hyperlink w:history="0" r:id="rId406" w:tooltip="Приказ Минздрава России от 19.03.2021 N 231н (ред. от 04.09.2024) &quot;Об утверждении Порядка проведения контроля объемов, сроков, качества и условий предоставления медицинской помощи по обязательному медицинскому страхованию застрахованным лицам, а также ее финансового обеспечения&quot; (Зарегистрировано в Минюсте России 13.05.2021 N 63410) {КонсультантПлюс}">
              <w:r>
                <w:rPr>
                  <w:sz w:val="24"/>
                  <w:color w:val="0000ff"/>
                </w:rPr>
                <w:t xml:space="preserve">2.1</w:t>
              </w:r>
            </w:hyperlink>
            <w:r>
              <w:rPr>
                <w:sz w:val="24"/>
              </w:rPr>
              <w:t xml:space="preserve">; </w:t>
            </w:r>
            <w:hyperlink w:history="0" r:id="rId407" w:tooltip="Приказ Минздрава России от 19.03.2021 N 231н (ред. от 04.09.2024) &quot;Об утверждении Порядка проведения контроля объемов, сроков, качества и условий предоставления медицинской помощи по обязательному медицинскому страхованию застрахованным лицам, а также ее финансового обеспечения&quot; (Зарегистрировано в Минюсте России 13.05.2021 N 63410) {КонсультантПлюс}">
              <w:r>
                <w:rPr>
                  <w:sz w:val="24"/>
                  <w:color w:val="0000ff"/>
                </w:rPr>
                <w:t xml:space="preserve">2.7</w:t>
              </w:r>
            </w:hyperlink>
            <w:r>
              <w:rPr>
                <w:sz w:val="24"/>
              </w:rPr>
              <w:t xml:space="preserve">; </w:t>
            </w:r>
            <w:hyperlink w:history="0" r:id="rId408" w:tooltip="Приказ Минздрава России от 19.03.2021 N 231н (ред. от 04.09.2024) &quot;Об утверждении Порядка проведения контроля объемов, сроков, качества и условий предоставления медицинской помощи по обязательному медицинскому страхованию застрахованным лицам, а также ее финансового обеспечения&quot; (Зарегистрировано в Минюсте России 13.05.2021 N 63410) {КонсультантПлюс}">
              <w:r>
                <w:rPr>
                  <w:sz w:val="24"/>
                  <w:color w:val="0000ff"/>
                </w:rPr>
                <w:t xml:space="preserve">2.8</w:t>
              </w:r>
            </w:hyperlink>
            <w:r>
              <w:rPr>
                <w:sz w:val="24"/>
              </w:rPr>
              <w:t xml:space="preserve">; </w:t>
            </w:r>
            <w:hyperlink w:history="0" r:id="rId409" w:tooltip="Приказ Минздрава России от 19.03.2021 N 231н (ред. от 04.09.2024) &quot;Об утверждении Порядка проведения контроля объемов, сроков, качества и условий предоставления медицинской помощи по обязательному медицинскому страхованию застрахованным лицам, а также ее финансового обеспечения&quot; (Зарегистрировано в Минюсте России 13.05.2021 N 63410) {КонсультантПлюс}">
              <w:r>
                <w:rPr>
                  <w:sz w:val="24"/>
                  <w:color w:val="0000ff"/>
                </w:rPr>
                <w:t xml:space="preserve">2.16.1</w:t>
              </w:r>
            </w:hyperlink>
            <w:r>
              <w:rPr>
                <w:sz w:val="24"/>
              </w:rPr>
              <w:t xml:space="preserve">; </w:t>
            </w:r>
            <w:hyperlink w:history="0" r:id="rId410" w:tooltip="Приказ Минздрава России от 19.03.2021 N 231н (ред. от 04.09.2024) &quot;Об утверждении Порядка проведения контроля объемов, сроков, качества и условий предоставления медицинской помощи по обязательному медицинскому страхованию застрахованным лицам, а также ее финансового обеспечения&quot; (Зарегистрировано в Минюсте России 13.05.2021 N 63410) {КонсультантПлюс}">
              <w:r>
                <w:rPr>
                  <w:sz w:val="24"/>
                  <w:color w:val="0000ff"/>
                </w:rPr>
                <w:t xml:space="preserve">2.17</w:t>
              </w:r>
            </w:hyperlink>
            <w:r>
              <w:rPr>
                <w:sz w:val="24"/>
              </w:rPr>
              <w:t xml:space="preserve">; </w:t>
            </w:r>
            <w:hyperlink w:history="0" r:id="rId411" w:tooltip="Приказ Минздрава России от 19.03.2021 N 231н (ред. от 04.09.2024) &quot;Об утверждении Порядка проведения контроля объемов, сроков, качества и условий предоставления медицинской помощи по обязательному медицинскому страхованию застрахованным лицам, а также ее финансового обеспечения&quot; (Зарегистрировано в Минюсте России 13.05.2021 N 63410) {КонсультантПлюс}">
              <w:r>
                <w:rPr>
                  <w:sz w:val="24"/>
                  <w:color w:val="0000ff"/>
                </w:rPr>
                <w:t xml:space="preserve">2.18</w:t>
              </w:r>
            </w:hyperlink>
            <w:r>
              <w:rPr>
                <w:sz w:val="24"/>
              </w:rPr>
              <w:t xml:space="preserve">; </w:t>
            </w:r>
            <w:hyperlink w:history="0" r:id="rId412" w:tooltip="Приказ Минздрава России от 19.03.2021 N 231н (ред. от 04.09.2024) &quot;Об утверждении Порядка проведения контроля объемов, сроков, качества и условий предоставления медицинской помощи по обязательному медицинскому страхованию застрахованным лицам, а также ее финансового обеспечения&quot; (Зарегистрировано в Минюсте России 13.05.2021 N 63410) {КонсультантПлюс}">
              <w:r>
                <w:rPr>
                  <w:sz w:val="24"/>
                  <w:color w:val="0000ff"/>
                </w:rPr>
                <w:t xml:space="preserve">3.1.3</w:t>
              </w:r>
            </w:hyperlink>
            <w:r>
              <w:rPr>
                <w:sz w:val="24"/>
              </w:rPr>
              <w:t xml:space="preserve">; </w:t>
            </w:r>
            <w:hyperlink w:history="0" r:id="rId413" w:tooltip="Приказ Минздрава России от 19.03.2021 N 231н (ред. от 04.09.2024) &quot;Об утверждении Порядка проведения контроля объемов, сроков, качества и условий предоставления медицинской помощи по обязательному медицинскому страхованию застрахованным лицам, а также ее финансового обеспечения&quot; (Зарегистрировано в Минюсте России 13.05.2021 N 63410) {КонсультантПлюс}">
              <w:r>
                <w:rPr>
                  <w:sz w:val="24"/>
                  <w:color w:val="0000ff"/>
                </w:rPr>
                <w:t xml:space="preserve">3.2.2</w:t>
              </w:r>
            </w:hyperlink>
            <w:r>
              <w:rPr>
                <w:sz w:val="24"/>
              </w:rPr>
              <w:t xml:space="preserve">; </w:t>
            </w:r>
            <w:hyperlink w:history="0" r:id="rId414" w:tooltip="Приказ Минздрава России от 19.03.2021 N 231н (ред. от 04.09.2024) &quot;Об утверждении Порядка проведения контроля объемов, сроков, качества и условий предоставления медицинской помощи по обязательному медицинскому страхованию застрахованным лицам, а также ее финансового обеспечения&quot; (Зарегистрировано в Минюсте России 13.05.2021 N 63410) {КонсультантПлюс}">
              <w:r>
                <w:rPr>
                  <w:sz w:val="24"/>
                  <w:color w:val="0000ff"/>
                </w:rPr>
                <w:t xml:space="preserve">3.4</w:t>
              </w:r>
            </w:hyperlink>
            <w:r>
              <w:rPr>
                <w:sz w:val="24"/>
              </w:rPr>
              <w:t xml:space="preserve">; </w:t>
            </w:r>
            <w:hyperlink w:history="0" r:id="rId415" w:tooltip="Приказ Минздрава России от 19.03.2021 N 231н (ред. от 04.09.2024) &quot;Об утверждении Порядка проведения контроля объемов, сроков, качества и условий предоставления медицинской помощи по обязательному медицинскому страхованию застрахованным лицам, а также ее финансового обеспечения&quot; (Зарегистрировано в Минюсте России 13.05.2021 N 63410) {КонсультантПлюс}">
              <w:r>
                <w:rPr>
                  <w:sz w:val="24"/>
                  <w:color w:val="0000ff"/>
                </w:rPr>
                <w:t xml:space="preserve">3.7</w:t>
              </w:r>
            </w:hyperlink>
            <w:r>
              <w:rPr>
                <w:sz w:val="24"/>
              </w:rPr>
              <w:t xml:space="preserve">; </w:t>
            </w:r>
            <w:hyperlink w:history="0" r:id="rId416" w:tooltip="Приказ Минздрава России от 19.03.2021 N 231н (ред. от 04.09.2024) &quot;Об утверждении Порядка проведения контроля объемов, сроков, качества и условий предоставления медицинской помощи по обязательному медицинскому страхованию застрахованным лицам, а также ее финансового обеспечения&quot; (Зарегистрировано в Минюсте России 13.05.2021 N 63410) {КонсультантПлюс}">
              <w:r>
                <w:rPr>
                  <w:sz w:val="24"/>
                  <w:color w:val="0000ff"/>
                </w:rPr>
                <w:t xml:space="preserve">3.8</w:t>
              </w:r>
            </w:hyperlink>
            <w:r>
              <w:rPr>
                <w:sz w:val="24"/>
              </w:rPr>
              <w:t xml:space="preserve">; </w:t>
            </w:r>
            <w:hyperlink w:history="0" r:id="rId417" w:tooltip="Приказ Минздрава России от 19.03.2021 N 231н (ред. от 04.09.2024) &quot;Об утверждении Порядка проведения контроля объемов, сроков, качества и условий предоставления медицинской помощи по обязательному медицинскому страхованию застрахованным лицам, а также ее финансового обеспечения&quot; (Зарегистрировано в Минюсте России 13.05.2021 N 63410) {КонсультантПлюс}">
              <w:r>
                <w:rPr>
                  <w:sz w:val="24"/>
                  <w:color w:val="0000ff"/>
                </w:rPr>
                <w:t xml:space="preserve">3.9</w:t>
              </w:r>
            </w:hyperlink>
            <w:r>
              <w:rPr>
                <w:sz w:val="24"/>
              </w:rPr>
              <w:t xml:space="preserve">; </w:t>
            </w:r>
            <w:hyperlink w:history="0" r:id="rId418" w:tooltip="Приказ Минздрава России от 19.03.2021 N 231н (ред. от 04.09.2024) &quot;Об утверждении Порядка проведения контроля объемов, сроков, качества и условий предоставления медицинской помощи по обязательному медицинскому страхованию застрахованным лицам, а также ее финансового обеспечения&quot; (Зарегистрировано в Минюсте России 13.05.2021 N 63410) {КонсультантПлюс}">
              <w:r>
                <w:rPr>
                  <w:sz w:val="24"/>
                  <w:color w:val="0000ff"/>
                </w:rPr>
                <w:t xml:space="preserve">3.12</w:t>
              </w:r>
            </w:hyperlink>
          </w:p>
        </w:tc>
      </w:tr>
      <w:tr>
        <w:tc>
          <w:tcPr>
            <w:tcW w:w="1700" w:type="dxa"/>
          </w:tcPr>
          <w:p>
            <w:pPr>
              <w:pStyle w:val="0"/>
              <w:jc w:val="center"/>
            </w:pPr>
            <w:r>
              <w:rPr>
                <w:sz w:val="24"/>
              </w:rPr>
              <w:t xml:space="preserve">0,5</w:t>
            </w:r>
          </w:p>
        </w:tc>
        <w:tc>
          <w:tcPr>
            <w:tcW w:w="7370" w:type="dxa"/>
          </w:tcPr>
          <w:p>
            <w:pPr>
              <w:pStyle w:val="0"/>
              <w:jc w:val="both"/>
            </w:pPr>
            <w:hyperlink w:history="0" r:id="rId419" w:tooltip="Приказ Минздрава России от 19.03.2021 N 231н (ред. от 04.09.2024) &quot;Об утверждении Порядка проведения контроля объемов, сроков, качества и условий предоставления медицинской помощи по обязательному медицинскому страхованию застрахованным лицам, а также ее финансового обеспечения&quot; (Зарегистрировано в Минюсте России 13.05.2021 N 63410) {КонсультантПлюс}">
              <w:r>
                <w:rPr>
                  <w:sz w:val="24"/>
                  <w:color w:val="0000ff"/>
                </w:rPr>
                <w:t xml:space="preserve">2.10</w:t>
              </w:r>
            </w:hyperlink>
            <w:r>
              <w:rPr>
                <w:sz w:val="24"/>
              </w:rPr>
              <w:t xml:space="preserve">; </w:t>
            </w:r>
            <w:hyperlink w:history="0" r:id="rId420" w:tooltip="Приказ Минздрава России от 19.03.2021 N 231н (ред. от 04.09.2024) &quot;Об утверждении Порядка проведения контроля объемов, сроков, качества и условий предоставления медицинской помощи по обязательному медицинскому страхованию застрахованным лицам, а также ее финансового обеспечения&quot; (Зарегистрировано в Минюсте России 13.05.2021 N 63410) {КонсультантПлюс}">
              <w:r>
                <w:rPr>
                  <w:sz w:val="24"/>
                  <w:color w:val="0000ff"/>
                </w:rPr>
                <w:t xml:space="preserve">3.10</w:t>
              </w:r>
            </w:hyperlink>
          </w:p>
        </w:tc>
      </w:tr>
      <w:tr>
        <w:tc>
          <w:tcPr>
            <w:tcW w:w="1700" w:type="dxa"/>
          </w:tcPr>
          <w:p>
            <w:pPr>
              <w:pStyle w:val="0"/>
              <w:jc w:val="center"/>
            </w:pPr>
            <w:r>
              <w:rPr>
                <w:sz w:val="24"/>
              </w:rPr>
              <w:t xml:space="preserve">0,6</w:t>
            </w:r>
          </w:p>
        </w:tc>
        <w:tc>
          <w:tcPr>
            <w:tcW w:w="7370" w:type="dxa"/>
          </w:tcPr>
          <w:p>
            <w:pPr>
              <w:pStyle w:val="0"/>
              <w:jc w:val="both"/>
            </w:pPr>
            <w:hyperlink w:history="0" r:id="rId421" w:tooltip="Приказ Минздрава России от 19.03.2021 N 231н (ред. от 04.09.2024) &quot;Об утверждении Порядка проведения контроля объемов, сроков, качества и условий предоставления медицинской помощи по обязательному медицинскому страхованию застрахованным лицам, а также ее финансового обеспечения&quot; (Зарегистрировано в Минюсте России 13.05.2021 N 63410) {КонсультантПлюс}">
              <w:r>
                <w:rPr>
                  <w:sz w:val="24"/>
                  <w:color w:val="0000ff"/>
                </w:rPr>
                <w:t xml:space="preserve">2.11</w:t>
              </w:r>
            </w:hyperlink>
            <w:r>
              <w:rPr>
                <w:sz w:val="24"/>
              </w:rPr>
              <w:t xml:space="preserve">; </w:t>
            </w:r>
            <w:hyperlink w:history="0" r:id="rId422" w:tooltip="Приказ Минздрава России от 19.03.2021 N 231н (ред. от 04.09.2024) &quot;Об утверждении Порядка проведения контроля объемов, сроков, качества и условий предоставления медицинской помощи по обязательному медицинскому страхованию застрахованным лицам, а также ее финансового обеспечения&quot; (Зарегистрировано в Минюсте России 13.05.2021 N 63410) {КонсультантПлюс}">
              <w:r>
                <w:rPr>
                  <w:sz w:val="24"/>
                  <w:color w:val="0000ff"/>
                </w:rPr>
                <w:t xml:space="preserve">3.3</w:t>
              </w:r>
            </w:hyperlink>
            <w:r>
              <w:rPr>
                <w:sz w:val="24"/>
              </w:rPr>
              <w:t xml:space="preserve">; </w:t>
            </w:r>
            <w:hyperlink w:history="0" r:id="rId423" w:tooltip="Приказ Минздрава России от 19.03.2021 N 231н (ред. от 04.09.2024) &quot;Об утверждении Порядка проведения контроля объемов, сроков, качества и условий предоставления медицинской помощи по обязательному медицинскому страхованию застрахованным лицам, а также ее финансового обеспечения&quot; (Зарегистрировано в Минюсте России 13.05.2021 N 63410) {КонсультантПлюс}">
              <w:r>
                <w:rPr>
                  <w:sz w:val="24"/>
                  <w:color w:val="0000ff"/>
                </w:rPr>
                <w:t xml:space="preserve">3.13</w:t>
              </w:r>
            </w:hyperlink>
          </w:p>
        </w:tc>
      </w:tr>
      <w:tr>
        <w:tc>
          <w:tcPr>
            <w:tcW w:w="1700" w:type="dxa"/>
          </w:tcPr>
          <w:p>
            <w:pPr>
              <w:pStyle w:val="0"/>
              <w:jc w:val="center"/>
            </w:pPr>
            <w:r>
              <w:rPr>
                <w:sz w:val="24"/>
              </w:rPr>
              <w:t xml:space="preserve">1</w:t>
            </w:r>
          </w:p>
        </w:tc>
        <w:tc>
          <w:tcPr>
            <w:tcW w:w="7370" w:type="dxa"/>
          </w:tcPr>
          <w:p>
            <w:pPr>
              <w:pStyle w:val="0"/>
              <w:jc w:val="both"/>
            </w:pPr>
            <w:hyperlink w:history="0" r:id="rId424" w:tooltip="Приказ Минздрава России от 19.03.2021 N 231н (ред. от 04.09.2024) &quot;Об утверждении Порядка проведения контроля объемов, сроков, качества и условий предоставления медицинской помощи по обязательному медицинскому страхованию застрахованным лицам, а также ее финансового обеспечения&quot; (Зарегистрировано в Минюсте России 13.05.2021 N 63410) {КонсультантПлюс}">
              <w:r>
                <w:rPr>
                  <w:sz w:val="24"/>
                  <w:color w:val="0000ff"/>
                </w:rPr>
                <w:t xml:space="preserve">1.2</w:t>
              </w:r>
            </w:hyperlink>
            <w:r>
              <w:rPr>
                <w:sz w:val="24"/>
              </w:rPr>
              <w:t xml:space="preserve">; </w:t>
            </w:r>
            <w:hyperlink w:history="0" r:id="rId425" w:tooltip="Приказ Минздрава России от 19.03.2021 N 231н (ред. от 04.09.2024) &quot;Об утверждении Порядка проведения контроля объемов, сроков, качества и условий предоставления медицинской помощи по обязательному медицинскому страхованию застрахованным лицам, а также ее финансового обеспечения&quot; (Зарегистрировано в Минюсте России 13.05.2021 N 63410) {КонсультантПлюс}">
              <w:r>
                <w:rPr>
                  <w:sz w:val="24"/>
                  <w:color w:val="0000ff"/>
                </w:rPr>
                <w:t xml:space="preserve">2.9</w:t>
              </w:r>
            </w:hyperlink>
            <w:r>
              <w:rPr>
                <w:sz w:val="24"/>
              </w:rPr>
              <w:t xml:space="preserve">; </w:t>
            </w:r>
            <w:hyperlink w:history="0" r:id="rId426" w:tooltip="Приказ Минздрава России от 19.03.2021 N 231н (ред. от 04.09.2024) &quot;Об утверждении Порядка проведения контроля объемов, сроков, качества и условий предоставления медицинской помощи по обязательному медицинскому страхованию застрахованным лицам, а также ее финансового обеспечения&quot; (Зарегистрировано в Минюсте России 13.05.2021 N 63410) {КонсультантПлюс}">
              <w:r>
                <w:rPr>
                  <w:sz w:val="24"/>
                  <w:color w:val="0000ff"/>
                </w:rPr>
                <w:t xml:space="preserve">2.16.2</w:t>
              </w:r>
            </w:hyperlink>
            <w:r>
              <w:rPr>
                <w:sz w:val="24"/>
              </w:rPr>
              <w:t xml:space="preserve">; </w:t>
            </w:r>
            <w:hyperlink w:history="0" r:id="rId427" w:tooltip="Приказ Минздрава России от 19.03.2021 N 231н (ред. от 04.09.2024) &quot;Об утверждении Порядка проведения контроля объемов, сроков, качества и условий предоставления медицинской помощи по обязательному медицинскому страхованию застрахованным лицам, а также ее финансового обеспечения&quot; (Зарегистрировано в Минюсте России 13.05.2021 N 63410) {КонсультантПлюс}">
              <w:r>
                <w:rPr>
                  <w:sz w:val="24"/>
                  <w:color w:val="0000ff"/>
                </w:rPr>
                <w:t xml:space="preserve">3.1.4</w:t>
              </w:r>
            </w:hyperlink>
            <w:r>
              <w:rPr>
                <w:sz w:val="24"/>
              </w:rPr>
              <w:t xml:space="preserve">; </w:t>
            </w:r>
            <w:hyperlink w:history="0" r:id="rId428" w:tooltip="Приказ Минздрава России от 19.03.2021 N 231н (ред. от 04.09.2024) &quot;Об утверждении Порядка проведения контроля объемов, сроков, качества и условий предоставления медицинской помощи по обязательному медицинскому страхованию застрахованным лицам, а также ее финансового обеспечения&quot; (Зарегистрировано в Минюсте России 13.05.2021 N 63410) {КонсультантПлюс}">
              <w:r>
                <w:rPr>
                  <w:sz w:val="24"/>
                  <w:color w:val="0000ff"/>
                </w:rPr>
                <w:t xml:space="preserve">3.2.3</w:t>
              </w:r>
            </w:hyperlink>
            <w:r>
              <w:rPr>
                <w:sz w:val="24"/>
              </w:rPr>
              <w:t xml:space="preserve">; </w:t>
            </w:r>
            <w:hyperlink w:history="0" r:id="rId429" w:tooltip="Приказ Минздрава России от 19.03.2021 N 231н (ред. от 04.09.2024) &quot;Об утверждении Порядка проведения контроля объемов, сроков, качества и условий предоставления медицинской помощи по обязательному медицинскому страхованию застрахованным лицам, а также ее финансового обеспечения&quot; (Зарегистрировано в Минюсте России 13.05.2021 N 63410) {КонсультантПлюс}">
              <w:r>
                <w:rPr>
                  <w:sz w:val="24"/>
                  <w:color w:val="0000ff"/>
                </w:rPr>
                <w:t xml:space="preserve">3.2.5</w:t>
              </w:r>
            </w:hyperlink>
            <w:r>
              <w:rPr>
                <w:sz w:val="24"/>
              </w:rPr>
              <w:t xml:space="preserve">; </w:t>
            </w:r>
            <w:hyperlink w:history="0" r:id="rId430" w:tooltip="Приказ Минздрава России от 19.03.2021 N 231н (ред. от 04.09.2024) &quot;Об утверждении Порядка проведения контроля объемов, сроков, качества и условий предоставления медицинской помощи по обязательному медицинскому страхованию застрахованным лицам, а также ее финансового обеспечения&quot; (Зарегистрировано в Минюсте России 13.05.2021 N 63410) {КонсультантПлюс}">
              <w:r>
                <w:rPr>
                  <w:sz w:val="24"/>
                  <w:color w:val="0000ff"/>
                </w:rPr>
                <w:t xml:space="preserve">3.2.6</w:t>
              </w:r>
            </w:hyperlink>
            <w:r>
              <w:rPr>
                <w:sz w:val="24"/>
              </w:rPr>
              <w:t xml:space="preserve">; </w:t>
            </w:r>
            <w:hyperlink w:history="0" r:id="rId431" w:tooltip="Приказ Минздрава России от 19.03.2021 N 231н (ред. от 04.09.2024) &quot;Об утверждении Порядка проведения контроля объемов, сроков, качества и условий предоставления медицинской помощи по обязательному медицинскому страхованию застрахованным лицам, а также ее финансового обеспечения&quot; (Зарегистрировано в Минюсте России 13.05.2021 N 63410) {КонсультантПлюс}">
              <w:r>
                <w:rPr>
                  <w:sz w:val="24"/>
                  <w:color w:val="0000ff"/>
                </w:rPr>
                <w:t xml:space="preserve">3.6</w:t>
              </w:r>
            </w:hyperlink>
            <w:r>
              <w:rPr>
                <w:sz w:val="24"/>
              </w:rPr>
              <w:t xml:space="preserve">; </w:t>
            </w:r>
            <w:hyperlink w:history="0" r:id="rId432" w:tooltip="Приказ Минздрава России от 19.03.2021 N 231н (ред. от 04.09.2024) &quot;Об утверждении Порядка проведения контроля объемов, сроков, качества и условий предоставления медицинской помощи по обязательному медицинскому страхованию застрахованным лицам, а также ее финансового обеспечения&quot; (Зарегистрировано в Минюсте России 13.05.2021 N 63410) {КонсультантПлюс}">
              <w:r>
                <w:rPr>
                  <w:sz w:val="24"/>
                  <w:color w:val="0000ff"/>
                </w:rPr>
                <w:t xml:space="preserve">3.14.1</w:t>
              </w:r>
            </w:hyperlink>
            <w:r>
              <w:rPr>
                <w:sz w:val="24"/>
              </w:rPr>
              <w:t xml:space="preserve">; </w:t>
            </w:r>
            <w:hyperlink w:history="0" r:id="rId433" w:tooltip="Приказ Минздрава России от 19.03.2021 N 231н (ред. от 04.09.2024) &quot;Об утверждении Порядка проведения контроля объемов, сроков, качества и условий предоставления медицинской помощи по обязательному медицинскому страхованию застрахованным лицам, а также ее финансового обеспечения&quot; (Зарегистрировано в Минюсте России 13.05.2021 N 63410) {КонсультантПлюс}">
              <w:r>
                <w:rPr>
                  <w:sz w:val="24"/>
                  <w:color w:val="0000ff"/>
                </w:rPr>
                <w:t xml:space="preserve">3.15.1</w:t>
              </w:r>
            </w:hyperlink>
          </w:p>
        </w:tc>
      </w:tr>
      <w:tr>
        <w:tc>
          <w:tcPr>
            <w:tcW w:w="1700" w:type="dxa"/>
          </w:tcPr>
          <w:p>
            <w:pPr>
              <w:pStyle w:val="0"/>
              <w:jc w:val="center"/>
            </w:pPr>
            <w:r>
              <w:rPr>
                <w:sz w:val="24"/>
              </w:rPr>
              <w:t xml:space="preserve">2</w:t>
            </w:r>
          </w:p>
        </w:tc>
        <w:tc>
          <w:tcPr>
            <w:tcW w:w="7370" w:type="dxa"/>
          </w:tcPr>
          <w:p>
            <w:pPr>
              <w:pStyle w:val="0"/>
              <w:jc w:val="both"/>
            </w:pPr>
            <w:hyperlink w:history="0" r:id="rId434" w:tooltip="Приказ Минздрава России от 19.03.2021 N 231н (ред. от 04.09.2024) &quot;Об утверждении Порядка проведения контроля объемов, сроков, качества и условий предоставления медицинской помощи по обязательному медицинскому страхованию застрахованным лицам, а также ее финансового обеспечения&quot; (Зарегистрировано в Минюсте России 13.05.2021 N 63410) {КонсультантПлюс}">
              <w:r>
                <w:rPr>
                  <w:sz w:val="24"/>
                  <w:color w:val="0000ff"/>
                </w:rPr>
                <w:t xml:space="preserve">3.14.2</w:t>
              </w:r>
            </w:hyperlink>
            <w:r>
              <w:rPr>
                <w:sz w:val="24"/>
              </w:rPr>
              <w:t xml:space="preserve">; </w:t>
            </w:r>
            <w:hyperlink w:history="0" r:id="rId435" w:tooltip="Приказ Минздрава России от 19.03.2021 N 231н (ред. от 04.09.2024) &quot;Об утверждении Порядка проведения контроля объемов, сроков, качества и условий предоставления медицинской помощи по обязательному медицинскому страхованию застрахованным лицам, а также ее финансового обеспечения&quot; (Зарегистрировано в Минюсте России 13.05.2021 N 63410) {КонсультантПлюс}">
              <w:r>
                <w:rPr>
                  <w:sz w:val="24"/>
                  <w:color w:val="0000ff"/>
                </w:rPr>
                <w:t xml:space="preserve">3.15.2</w:t>
              </w:r>
            </w:hyperlink>
          </w:p>
        </w:tc>
      </w:tr>
      <w:tr>
        <w:tc>
          <w:tcPr>
            <w:tcW w:w="1700" w:type="dxa"/>
          </w:tcPr>
          <w:p>
            <w:pPr>
              <w:pStyle w:val="0"/>
              <w:jc w:val="center"/>
            </w:pPr>
            <w:r>
              <w:rPr>
                <w:sz w:val="24"/>
              </w:rPr>
              <w:t xml:space="preserve">3</w:t>
            </w:r>
          </w:p>
        </w:tc>
        <w:tc>
          <w:tcPr>
            <w:tcW w:w="7370" w:type="dxa"/>
          </w:tcPr>
          <w:p>
            <w:pPr>
              <w:pStyle w:val="0"/>
              <w:jc w:val="both"/>
            </w:pPr>
            <w:hyperlink w:history="0" r:id="rId436" w:tooltip="Приказ Минздрава России от 19.03.2021 N 231н (ред. от 04.09.2024) &quot;Об утверждении Порядка проведения контроля объемов, сроков, качества и условий предоставления медицинской помощи по обязательному медицинскому страхованию застрахованным лицам, а также ее финансового обеспечения&quot; (Зарегистрировано в Минюсте России 13.05.2021 N 63410) {КонсультантПлюс}">
              <w:r>
                <w:rPr>
                  <w:sz w:val="24"/>
                  <w:color w:val="0000ff"/>
                </w:rPr>
                <w:t xml:space="preserve">2.2</w:t>
              </w:r>
            </w:hyperlink>
            <w:r>
              <w:rPr>
                <w:sz w:val="24"/>
              </w:rPr>
              <w:t xml:space="preserve">; </w:t>
            </w:r>
            <w:hyperlink w:history="0" r:id="rId437" w:tooltip="Приказ Минздрава России от 19.03.2021 N 231н (ред. от 04.09.2024) &quot;Об утверждении Порядка проведения контроля объемов, сроков, качества и условий предоставления медицинской помощи по обязательному медицинскому страхованию застрахованным лицам, а также ее финансового обеспечения&quot; (Зарегистрировано в Минюсте России 13.05.2021 N 63410) {КонсультантПлюс}">
              <w:r>
                <w:rPr>
                  <w:sz w:val="24"/>
                  <w:color w:val="0000ff"/>
                </w:rPr>
                <w:t xml:space="preserve">3.1.5</w:t>
              </w:r>
            </w:hyperlink>
            <w:r>
              <w:rPr>
                <w:sz w:val="24"/>
              </w:rPr>
              <w:t xml:space="preserve">; </w:t>
            </w:r>
            <w:hyperlink w:history="0" r:id="rId438" w:tooltip="Приказ Минздрава России от 19.03.2021 N 231н (ред. от 04.09.2024) &quot;Об утверждении Порядка проведения контроля объемов, сроков, качества и условий предоставления медицинской помощи по обязательному медицинскому страхованию застрахованным лицам, а также ее финансового обеспечения&quot; (Зарегистрировано в Минюсте России 13.05.2021 N 63410) {КонсультантПлюс}">
              <w:r>
                <w:rPr>
                  <w:sz w:val="24"/>
                  <w:color w:val="0000ff"/>
                </w:rPr>
                <w:t xml:space="preserve">3.2.4</w:t>
              </w:r>
            </w:hyperlink>
            <w:r>
              <w:rPr>
                <w:sz w:val="24"/>
              </w:rPr>
              <w:t xml:space="preserve">; </w:t>
            </w:r>
            <w:hyperlink w:history="0" r:id="rId439" w:tooltip="Приказ Минздрава России от 19.03.2021 N 231н (ред. от 04.09.2024) &quot;Об утверждении Порядка проведения контроля объемов, сроков, качества и условий предоставления медицинской помощи по обязательному медицинскому страхованию застрахованным лицам, а также ее финансового обеспечения&quot; (Зарегистрировано в Минюсте России 13.05.2021 N 63410) {КонсультантПлюс}">
              <w:r>
                <w:rPr>
                  <w:sz w:val="24"/>
                  <w:color w:val="0000ff"/>
                </w:rPr>
                <w:t xml:space="preserve">3.14.3</w:t>
              </w:r>
            </w:hyperlink>
            <w:r>
              <w:rPr>
                <w:sz w:val="24"/>
              </w:rPr>
              <w:t xml:space="preserve">; </w:t>
            </w:r>
            <w:hyperlink w:history="0" r:id="rId440" w:tooltip="Приказ Минздрава России от 19.03.2021 N 231н (ред. от 04.09.2024) &quot;Об утверждении Порядка проведения контроля объемов, сроков, качества и условий предоставления медицинской помощи по обязательному медицинскому страхованию застрахованным лицам, а также ее финансового обеспечения&quot; (Зарегистрировано в Минюсте России 13.05.2021 N 63410) {КонсультантПлюс}">
              <w:r>
                <w:rPr>
                  <w:sz w:val="24"/>
                  <w:color w:val="0000ff"/>
                </w:rPr>
                <w:t xml:space="preserve">3.15.3</w:t>
              </w:r>
            </w:hyperlink>
          </w:p>
        </w:tc>
      </w:tr>
    </w:tbl>
    <w:p>
      <w:pPr>
        <w:pStyle w:val="0"/>
        <w:jc w:val="both"/>
      </w:pPr>
      <w:r>
        <w:rPr>
          <w:sz w:val="24"/>
        </w:rPr>
      </w:r>
    </w:p>
    <w:p>
      <w:pPr>
        <w:pStyle w:val="0"/>
        <w:ind w:firstLine="540"/>
        <w:jc w:val="both"/>
      </w:pPr>
      <w:r>
        <w:rPr>
          <w:sz w:val="24"/>
        </w:rPr>
        <w:t xml:space="preserve">--------------------------------</w:t>
      </w:r>
    </w:p>
    <w:bookmarkStart w:id="4801" w:name="P4801"/>
    <w:bookmarkEnd w:id="4801"/>
    <w:p>
      <w:pPr>
        <w:pStyle w:val="0"/>
        <w:spacing w:before="240" w:lineRule="auto"/>
        <w:ind w:firstLine="540"/>
        <w:jc w:val="both"/>
      </w:pPr>
      <w:r>
        <w:rPr>
          <w:sz w:val="24"/>
        </w:rPr>
        <w:t xml:space="preserve">&lt;1&gt; </w:t>
      </w:r>
      <w:hyperlink w:history="0" r:id="rId441" w:tooltip="Приказ Минздрава России от 19.03.2021 N 231н (ред. от 04.09.2024) &quot;Об утверждении Порядка проведения контроля объемов, сроков, качества и условий предоставления медицинской помощи по обязательному медицинскому страхованию застрахованным лицам, а также ее финансового обеспечения&quot; (Зарегистрировано в Минюсте России 13.05.2021 N 63410) {КонсультантПлюс}">
        <w:r>
          <w:rPr>
            <w:sz w:val="24"/>
            <w:color w:val="0000ff"/>
          </w:rPr>
          <w:t xml:space="preserve">Приложение</w:t>
        </w:r>
      </w:hyperlink>
      <w:r>
        <w:rPr>
          <w:sz w:val="24"/>
        </w:rPr>
        <w:t xml:space="preserve"> к Порядку организации и проведения контроля объемов, сроков, качества и условий предоставления медицинской помощи по обязательному медицинскому страхованию застрахованным лицам, а также ее финансового обеспечения, утвержденному приказом Министерства здравоохранения Российской Федерации от 19 марта 2021 г. N 231н (зарегистрирован Министерством юстиции Российской Федерации 13 мая 2021 г., регистрационный N 63410), с изменениями, внесенными приказами Министерства здравоохранения Российской Федерации от 1 июля 2021 г. N 696н (зарегистрирован Министерством юстиции Российской Федерации 29 июля 2021 г., регистрационный N 64445), от 21 февраля 2022 г. N 110н (зарегистрирован Министерством юстиции Российской Федерации 28 февраля 2022 г., регистрационный N 67559) и от 4 сентября 2024 г. N 449н (зарегистрирован Министерством юстиции Российской Федерации 3 октября 2024 г., регистрационный N 79698).</w:t>
      </w:r>
    </w:p>
    <w:p>
      <w:pPr>
        <w:pStyle w:val="0"/>
        <w:jc w:val="both"/>
      </w:pPr>
      <w:r>
        <w:rPr>
          <w:sz w:val="24"/>
        </w:rPr>
      </w:r>
    </w:p>
    <w:p>
      <w:pPr>
        <w:pStyle w:val="0"/>
        <w:jc w:val="both"/>
      </w:pPr>
      <w:r>
        <w:rPr>
          <w:sz w:val="24"/>
        </w:rPr>
      </w:r>
    </w:p>
    <w:p>
      <w:pPr>
        <w:pStyle w:val="0"/>
        <w:jc w:val="both"/>
        <w:pBdr>
          <w:bottom w:val="single" w:sz="6" w:space="0" w:color="auto"/>
        </w:pBdr>
        <w:spacing w:before="100" w:after="100"/>
        <w:rPr>
          <w:sz w:val="2"/>
          <w:szCs w:val="2"/>
        </w:rPr>
      </w:pPr>
    </w:p>
    <w:sectPr>
      <w:headerReference w:type="default" r:id="rId6"/>
      <w:headerReference w:type="first" r:id="rId6"/>
      <w:footerReference w:type="default" r:id="rId7"/>
      <w:footerReference w:type="first" r:id="rId7"/>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footer2.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170"/>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Приказ Минздрава России от 21.08.2025 N 496н</w:t>
            <w:br/>
            <w:t>"Об утверждении Правил обязательного медицинского страхования"</w:t>
            <w:br/>
            <w:t>(Зарегистрир...</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07.07.2026</w:t>
          </w:r>
        </w:p>
      </w:tc>
    </w:tr>
  </w:tbl>
  <w:p>
    <w:pPr>
      <w:pBdr>
        <w:bottom w:val="single" w:sz="12" w:space="0" w:color="auto"/>
      </w:pBdr>
      <w:rPr>
        <w:sz w:val="2"/>
        <w:szCs w:val="2"/>
      </w:rPr>
    </w:pPr>
  </w:p>
  <w:p/>
</w:hdr>
</file>

<file path=word/header2.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190"/>
      </w:trPr>
      <w:tc>
        <w:tcPr>
          <w:tcW w:w="2700" w:type="pct"/>
          <w:vAlign w:val="center"/>
        </w:tcPr>
        <w:p>
          <w:pPr>
            <w:rPr>
              <w:rFonts w:ascii="Tahoma" w:hAnsi="Tahoma" w:cs="Tahoma"/>
            </w:rPr>
          </w:pPr>
          <w:r>
            <w:rPr>
              <w:rFonts w:ascii="Tahoma" w:hAnsi="Tahoma" w:cs="Tahoma"/>
              <w:sz w:val="16"/>
              <w:szCs w:val="16"/>
            </w:rPr>
            <w:t>Приказ Минздрава России от 21.08.2025 N 496н</w:t>
            <w:br/>
            <w:t>"Об утверждении Правил обязательного медицинского страхования"</w:t>
            <w:br/>
            <w:t>(Зарегистрир...</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07.07.2026</w:t>
          </w:r>
        </w:p>
      </w:tc>
    </w:tr>
  </w:tbl>
  <w:p>
    <w:pPr>
      <w:pBdr>
        <w:bottom w:val="single" w:sz="12" w:space="0" w:color="auto"/>
      </w:pBdr>
      <w:rPr>
        <w:sz w:val="2"/>
        <w:szCs w:val="2"/>
      </w:rPr>
    </w:pPr>
  </w:p>
  <w:p/>
</w:hdr>
</file>

<file path=word/settings.xml><?xml version="1.0" encoding="utf-8"?>
<w:settings xmlns:w="http://schemas.openxmlformats.org/wordprocessingml/2006/main">
  <w:themeFontLang w:val="ru-RU"/>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rPrDefault>
      <w:rPr>
        <w:lang w:val="ru-RU" w:eastAsia="ru-RU" w:bidi="ar-SA"/>
      </w:rPr>
    </w:rPrDefault>
  </w:docDefaults>
  <w:style w:type="paragraph" w:default="1" w:customStyle="1" w:styleId="0">
    <w:name w:val="ConsPlusNormal"/>
    <w:pPr>
      <w:widowControl w:val="0"/>
      <w:autoSpaceDE w:val="0"/>
      <w:autoSpaceDN w:val="0"/>
    </w:pPr>
    <w:rPr>
      <w:rFonts w:ascii="Times New Roman" w:hAnsi="Times New Roman" w:cs="Times New Roman"/>
      <w:sz w:val="24"/>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4"/>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Tahoma" w:hAnsi="Tahoma" w:cs="Tahoma"/>
      <w:sz w:val="18"/>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JurTerm"/>
    <w:pPr>
      <w:widowControl w:val="0"/>
      <w:autoSpaceDE w:val="0"/>
      <w:autoSpaceDN w:val="0"/>
    </w:pPr>
    <w:rPr>
      <w:rFonts w:ascii="Tahoma" w:hAnsi="Tahoma" w:cs="Tahoma"/>
      <w:sz w:val="26"/>
      <w:lang w:val="ru-RU" w:eastAsia="ru-RU" w:bidi="ar-SA"/>
    </w:rPr>
  </w:style>
  <w:style w:type="paragraph" w:customStyle="1" w:styleId="8">
    <w:name w:val="ConsPlusTextList"/>
    <w:pPr>
      <w:widowControl w:val="0"/>
      <w:autoSpaceDE w:val="0"/>
      <w:autoSpaceDN w:val="0"/>
    </w:pPr>
    <w:rPr>
      <w:rFonts w:ascii="Times New Roman" w:hAnsi="Times New Roman" w:cs="Times New Roman"/>
      <w:sz w:val="24"/>
      <w:lang w:val="ru-RU" w:eastAsia="ru-RU" w:bidi="ar-SA"/>
    </w:rPr>
  </w:style>
  <w:style w:type="paragraph" w:customStyle="1" w:styleId="9">
    <w:name w:val="ConsPlusTextList"/>
    <w:pPr>
      <w:widowControl w:val="0"/>
      <w:autoSpaceDE w:val="0"/>
      <w:autoSpaceDN w:val="0"/>
    </w:pPr>
    <w:rPr>
      <w:rFonts w:ascii="Times New Roman" w:hAnsi="Times New Roman" w:cs="Times New Roman"/>
      <w:sz w:val="24"/>
      <w:lang w:val="ru-RU" w:eastAsia="ru-RU" w:bidi="ar-SA"/>
    </w:rPr>
  </w:style>
  <w:style w:type="paragraph" w:default="1" w:customStyle="1" w:styleId="0">
    <w:name w:val="ConsPlusNormal"/>
    <w:pPr>
      <w:widowControl w:val="0"/>
      <w:autoSpaceDE w:val="0"/>
      <w:autoSpaceDN w:val="0"/>
    </w:pPr>
    <w:rPr>
      <w:rFonts w:ascii="Times New Roman" w:hAnsi="Times New Roman" w:cs="Times New Roman"/>
      <w:sz w:val="24"/>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4"/>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Tahoma" w:hAnsi="Tahoma" w:cs="Tahoma"/>
      <w:sz w:val="18"/>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JurTerm"/>
    <w:pPr>
      <w:widowControl w:val="0"/>
      <w:autoSpaceDE w:val="0"/>
      <w:autoSpaceDN w:val="0"/>
    </w:pPr>
    <w:rPr>
      <w:rFonts w:ascii="Tahoma" w:hAnsi="Tahoma" w:cs="Tahoma"/>
      <w:sz w:val="26"/>
      <w:lang w:val="ru-RU" w:eastAsia="ru-RU" w:bidi="ar-SA"/>
    </w:rPr>
  </w:style>
  <w:style w:type="paragraph" w:customStyle="1" w:styleId="8">
    <w:name w:val="ConsPlusTextList"/>
    <w:pPr>
      <w:widowControl w:val="0"/>
      <w:autoSpaceDE w:val="0"/>
      <w:autoSpaceDN w:val="0"/>
    </w:pPr>
    <w:rPr>
      <w:rFonts w:ascii="Times New Roman" w:hAnsi="Times New Roman" w:cs="Times New Roman"/>
      <w:sz w:val="24"/>
      <w:lang w:val="ru-RU" w:eastAsia="ru-RU" w:bidi="ar-SA"/>
    </w:rPr>
  </w:style>
  <w:style w:type="paragraph" w:customStyle="1" w:styleId="9">
    <w:name w:val="ConsPlusTextList"/>
    <w:pPr>
      <w:widowControl w:val="0"/>
      <w:autoSpaceDE w:val="0"/>
      <w:autoSpaceDN w:val="0"/>
    </w:pPr>
    <w:rPr>
      <w:rFonts w:ascii="Times New Roman" w:hAnsi="Times New Roman" w:cs="Times New Roman"/>
      <w:sz w:val="24"/>
      <w:lang w:val="ru-RU" w:eastAsia="ru-RU" w:bidi="ar-SA"/>
    </w:rPr>
  </w:style>
</w:styles>
</file>

<file path=word/_rels/document.xml.rels>&#65279;<?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styles" Target="styles.xml"/><Relationship Id="rId3" Type="http://schemas.openxmlformats.org/officeDocument/2006/relationships/image" Target="media/image1.png"/><Relationship Id="rId4" Type="http://schemas.openxmlformats.org/officeDocument/2006/relationships/hyperlink" Target="https://www.consultant.ru" TargetMode = "External"/><Relationship Id="rId5" Type="http://schemas.openxmlformats.org/officeDocument/2006/relationships/hyperlink" Target="https://www.consultant.ru" TargetMode = "External"/><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hyperlink" Target="https://login.consultant.ru/link/?req=doc&amp;base=LAW&amp;n=527200&amp;date=07.07.2026&amp;dst=164&amp;field=134" TargetMode = "External"/><Relationship Id="rId9" Type="http://schemas.openxmlformats.org/officeDocument/2006/relationships/hyperlink" Target="https://login.consultant.ru/link/?req=doc&amp;base=LAW&amp;n=513229&amp;date=07.07.2026&amp;dst=100154&amp;field=134" TargetMode = "External"/><Relationship Id="rId10" Type="http://schemas.openxmlformats.org/officeDocument/2006/relationships/hyperlink" Target="https://login.consultant.ru/link/?req=doc&amp;base=LAW&amp;n=487392&amp;date=07.07.2026" TargetMode = "External"/><Relationship Id="rId11" Type="http://schemas.openxmlformats.org/officeDocument/2006/relationships/hyperlink" Target="https://login.consultant.ru/link/?req=doc&amp;base=LAW&amp;n=350340&amp;date=07.07.2026" TargetMode = "External"/><Relationship Id="rId12" Type="http://schemas.openxmlformats.org/officeDocument/2006/relationships/hyperlink" Target="https://login.consultant.ru/link/?req=doc&amp;base=LAW&amp;n=432059&amp;date=07.07.2026" TargetMode = "External"/><Relationship Id="rId13" Type="http://schemas.openxmlformats.org/officeDocument/2006/relationships/hyperlink" Target="https://login.consultant.ru/link/?req=doc&amp;base=LAW&amp;n=379622&amp;date=07.07.2026" TargetMode = "External"/><Relationship Id="rId14" Type="http://schemas.openxmlformats.org/officeDocument/2006/relationships/hyperlink" Target="https://login.consultant.ru/link/?req=doc&amp;base=LAW&amp;n=382772&amp;date=07.07.2026" TargetMode = "External"/><Relationship Id="rId15" Type="http://schemas.openxmlformats.org/officeDocument/2006/relationships/hyperlink" Target="https://login.consultant.ru/link/?req=doc&amp;base=LAW&amp;n=391824&amp;date=07.07.2026&amp;dst=100010&amp;field=134" TargetMode = "External"/><Relationship Id="rId16" Type="http://schemas.openxmlformats.org/officeDocument/2006/relationships/hyperlink" Target="https://login.consultant.ru/link/?req=doc&amp;base=LAW&amp;n=397122&amp;date=07.07.2026" TargetMode = "External"/><Relationship Id="rId17" Type="http://schemas.openxmlformats.org/officeDocument/2006/relationships/hyperlink" Target="https://login.consultant.ru/link/?req=doc&amp;base=LAW&amp;n=407626&amp;date=07.07.2026" TargetMode = "External"/><Relationship Id="rId18" Type="http://schemas.openxmlformats.org/officeDocument/2006/relationships/hyperlink" Target="https://login.consultant.ru/link/?req=doc&amp;base=LAW&amp;n=410555&amp;date=07.07.2026&amp;dst=100011&amp;field=134" TargetMode = "External"/><Relationship Id="rId19" Type="http://schemas.openxmlformats.org/officeDocument/2006/relationships/hyperlink" Target="https://login.consultant.ru/link/?req=doc&amp;base=LAW&amp;n=436489&amp;date=07.07.2026" TargetMode = "External"/><Relationship Id="rId20" Type="http://schemas.openxmlformats.org/officeDocument/2006/relationships/hyperlink" Target="https://login.consultant.ru/link/?req=doc&amp;base=LAW&amp;n=487354&amp;date=07.07.2026&amp;dst=100010&amp;field=134" TargetMode = "External"/><Relationship Id="rId21" Type="http://schemas.openxmlformats.org/officeDocument/2006/relationships/hyperlink" Target="https://login.consultant.ru/link/?req=doc&amp;base=LAW&amp;n=527200&amp;date=07.07.2026&amp;dst=100165&amp;field=134" TargetMode = "External"/><Relationship Id="rId22" Type="http://schemas.openxmlformats.org/officeDocument/2006/relationships/hyperlink" Target="https://login.consultant.ru/link/?req=doc&amp;base=LAW&amp;n=527200&amp;date=07.07.2026&amp;dst=330&amp;field=134" TargetMode = "External"/><Relationship Id="rId23" Type="http://schemas.openxmlformats.org/officeDocument/2006/relationships/hyperlink" Target="https://login.consultant.ru/link/?req=doc&amp;base=LAW&amp;n=527200&amp;date=07.07.2026&amp;dst=392&amp;field=134" TargetMode = "External"/><Relationship Id="rId24" Type="http://schemas.openxmlformats.org/officeDocument/2006/relationships/hyperlink" Target="https://login.consultant.ru/link/?req=doc&amp;base=LAW&amp;n=99661&amp;date=07.07.2026&amp;dst=100004&amp;field=134" TargetMode = "External"/><Relationship Id="rId25" Type="http://schemas.openxmlformats.org/officeDocument/2006/relationships/hyperlink" Target="https://login.consultant.ru/link/?req=doc&amp;base=LAW&amp;n=527200&amp;date=07.07.2026&amp;dst=296&amp;field=134" TargetMode = "External"/><Relationship Id="rId26" Type="http://schemas.openxmlformats.org/officeDocument/2006/relationships/hyperlink" Target="https://login.consultant.ru/link/?req=doc&amp;base=LAW&amp;n=411721&amp;date=07.07.2026" TargetMode = "External"/><Relationship Id="rId27" Type="http://schemas.openxmlformats.org/officeDocument/2006/relationships/hyperlink" Target="https://login.consultant.ru/link/?req=doc&amp;base=LAW&amp;n=527200&amp;date=07.07.2026" TargetMode = "External"/><Relationship Id="rId28" Type="http://schemas.openxmlformats.org/officeDocument/2006/relationships/hyperlink" Target="https://login.consultant.ru/link/?req=doc&amp;base=LAW&amp;n=523556&amp;date=07.07.2026&amp;dst=101166&amp;field=134" TargetMode = "External"/><Relationship Id="rId29" Type="http://schemas.openxmlformats.org/officeDocument/2006/relationships/hyperlink" Target="https://login.consultant.ru/link/?req=doc&amp;base=LAW&amp;n=527200&amp;date=07.07.2026&amp;dst=330&amp;field=134" TargetMode = "External"/><Relationship Id="rId30" Type="http://schemas.openxmlformats.org/officeDocument/2006/relationships/hyperlink" Target="https://login.consultant.ru/link/?req=doc&amp;base=LAW&amp;n=473079&amp;date=07.07.2026" TargetMode = "External"/><Relationship Id="rId31" Type="http://schemas.openxmlformats.org/officeDocument/2006/relationships/hyperlink" Target="https://login.consultant.ru/link/?req=doc&amp;base=LAW&amp;n=521885&amp;date=07.07.2026&amp;dst=100173&amp;field=134" TargetMode = "External"/><Relationship Id="rId32" Type="http://schemas.openxmlformats.org/officeDocument/2006/relationships/hyperlink" Target="https://login.consultant.ru/link/?req=doc&amp;base=LAW&amp;n=536617&amp;date=07.07.2026&amp;dst=100117&amp;field=134" TargetMode = "External"/><Relationship Id="rId33" Type="http://schemas.openxmlformats.org/officeDocument/2006/relationships/hyperlink" Target="https://login.consultant.ru/link/?req=doc&amp;base=LAW&amp;n=536617&amp;date=07.07.2026&amp;dst=100157&amp;field=134" TargetMode = "External"/><Relationship Id="rId34" Type="http://schemas.openxmlformats.org/officeDocument/2006/relationships/hyperlink" Target="https://login.consultant.ru/link/?req=doc&amp;base=LAW&amp;n=527200&amp;date=07.07.2026" TargetMode = "External"/><Relationship Id="rId35" Type="http://schemas.openxmlformats.org/officeDocument/2006/relationships/hyperlink" Target="https://login.consultant.ru/link/?req=doc&amp;base=LAW&amp;n=536583&amp;date=07.07.2026" TargetMode = "External"/><Relationship Id="rId36" Type="http://schemas.openxmlformats.org/officeDocument/2006/relationships/hyperlink" Target="https://login.consultant.ru/link/?req=doc&amp;base=LAW&amp;n=538020&amp;date=07.07.2026&amp;dst=100091&amp;field=134" TargetMode = "External"/><Relationship Id="rId37" Type="http://schemas.openxmlformats.org/officeDocument/2006/relationships/hyperlink" Target="https://login.consultant.ru/link/?req=doc&amp;base=LAW&amp;n=510786&amp;date=07.07.2026" TargetMode = "External"/><Relationship Id="rId38" Type="http://schemas.openxmlformats.org/officeDocument/2006/relationships/hyperlink" Target="https://login.consultant.ru/link/?req=doc&amp;base=LAW&amp;n=538020&amp;date=07.07.2026&amp;dst=100091&amp;field=134" TargetMode = "External"/><Relationship Id="rId39" Type="http://schemas.openxmlformats.org/officeDocument/2006/relationships/hyperlink" Target="https://login.consultant.ru/link/?req=doc&amp;base=LAW&amp;n=536617&amp;date=07.07.2026&amp;dst=465&amp;field=134" TargetMode = "External"/><Relationship Id="rId40" Type="http://schemas.openxmlformats.org/officeDocument/2006/relationships/hyperlink" Target="https://login.consultant.ru/link/?req=doc&amp;base=LAW&amp;n=476082&amp;date=07.07.2026" TargetMode = "External"/><Relationship Id="rId41" Type="http://schemas.openxmlformats.org/officeDocument/2006/relationships/hyperlink" Target="http://pravo.gov.ru" TargetMode = "External"/><Relationship Id="rId42" Type="http://schemas.openxmlformats.org/officeDocument/2006/relationships/hyperlink" Target="https://login.consultant.ru/link/?req=doc&amp;base=LAW&amp;n=494604&amp;date=07.07.2026" TargetMode = "External"/><Relationship Id="rId43" Type="http://schemas.openxmlformats.org/officeDocument/2006/relationships/hyperlink" Target="https://login.consultant.ru/link/?req=doc&amp;base=LAW&amp;n=538020&amp;date=07.07.2026&amp;dst=100450&amp;field=134" TargetMode = "External"/><Relationship Id="rId44" Type="http://schemas.openxmlformats.org/officeDocument/2006/relationships/hyperlink" Target="https://login.consultant.ru/link/?req=doc&amp;base=LAW&amp;n=527200&amp;date=07.07.2026&amp;dst=360&amp;field=134" TargetMode = "External"/><Relationship Id="rId45" Type="http://schemas.openxmlformats.org/officeDocument/2006/relationships/hyperlink" Target="https://login.consultant.ru/link/?req=doc&amp;base=LAW&amp;n=527200&amp;date=07.07.2026&amp;dst=334&amp;field=134" TargetMode = "External"/><Relationship Id="rId46" Type="http://schemas.openxmlformats.org/officeDocument/2006/relationships/hyperlink" Target="https://login.consultant.ru/link/?req=doc&amp;base=LAW&amp;n=527200&amp;date=07.07.2026&amp;dst=334&amp;field=134" TargetMode = "External"/><Relationship Id="rId47" Type="http://schemas.openxmlformats.org/officeDocument/2006/relationships/hyperlink" Target="https://login.consultant.ru/link/?req=doc&amp;base=LAW&amp;n=527200&amp;date=07.07.2026&amp;dst=360&amp;field=134" TargetMode = "External"/><Relationship Id="rId48" Type="http://schemas.openxmlformats.org/officeDocument/2006/relationships/hyperlink" Target="https://login.consultant.ru/link/?req=doc&amp;base=LAW&amp;n=527200&amp;date=07.07.2026&amp;dst=360&amp;field=134" TargetMode = "External"/><Relationship Id="rId49" Type="http://schemas.openxmlformats.org/officeDocument/2006/relationships/hyperlink" Target="https://login.consultant.ru/link/?req=doc&amp;base=LAW&amp;n=527200&amp;date=07.07.2026&amp;dst=100348&amp;field=134" TargetMode = "External"/><Relationship Id="rId50" Type="http://schemas.openxmlformats.org/officeDocument/2006/relationships/hyperlink" Target="https://login.consultant.ru/link/?req=doc&amp;base=LAW&amp;n=527200&amp;date=07.07.2026&amp;dst=100170&amp;field=134" TargetMode = "External"/><Relationship Id="rId51" Type="http://schemas.openxmlformats.org/officeDocument/2006/relationships/hyperlink" Target="https://login.consultant.ru/link/?req=doc&amp;base=LAW&amp;n=527200&amp;date=07.07.2026&amp;dst=172&amp;field=134" TargetMode = "External"/><Relationship Id="rId52" Type="http://schemas.openxmlformats.org/officeDocument/2006/relationships/hyperlink" Target="https://login.consultant.ru/link/?req=doc&amp;base=LAW&amp;n=527200&amp;date=07.07.2026&amp;dst=172&amp;field=134" TargetMode = "External"/><Relationship Id="rId53" Type="http://schemas.openxmlformats.org/officeDocument/2006/relationships/hyperlink" Target="https://login.consultant.ru/link/?req=doc&amp;base=LAW&amp;n=527200&amp;date=07.07.2026&amp;dst=100493&amp;field=134" TargetMode = "External"/><Relationship Id="rId54" Type="http://schemas.openxmlformats.org/officeDocument/2006/relationships/hyperlink" Target="https://login.consultant.ru/link/?req=doc&amp;base=LAW&amp;n=527200&amp;date=07.07.2026&amp;dst=410&amp;field=134" TargetMode = "External"/><Relationship Id="rId55" Type="http://schemas.openxmlformats.org/officeDocument/2006/relationships/hyperlink" Target="https://login.consultant.ru/link/?req=doc&amp;base=LAW&amp;n=527200&amp;date=07.07.2026&amp;dst=172&amp;field=134" TargetMode = "External"/><Relationship Id="rId56" Type="http://schemas.openxmlformats.org/officeDocument/2006/relationships/hyperlink" Target="https://login.consultant.ru/link/?req=doc&amp;base=LAW&amp;n=527200&amp;date=07.07.2026&amp;dst=342&amp;field=134" TargetMode = "External"/><Relationship Id="rId57" Type="http://schemas.openxmlformats.org/officeDocument/2006/relationships/hyperlink" Target="https://login.consultant.ru/link/?req=doc&amp;base=LAW&amp;n=527200&amp;date=07.07.2026&amp;dst=126&amp;field=134" TargetMode = "External"/><Relationship Id="rId58" Type="http://schemas.openxmlformats.org/officeDocument/2006/relationships/hyperlink" Target="https://login.consultant.ru/link/?req=doc&amp;base=LAW&amp;n=527200&amp;date=07.07.2026&amp;dst=328&amp;field=134" TargetMode = "External"/><Relationship Id="rId59" Type="http://schemas.openxmlformats.org/officeDocument/2006/relationships/hyperlink" Target="https://login.consultant.ru/link/?req=doc&amp;base=LAW&amp;n=133081&amp;date=07.07.2026&amp;dst=100008&amp;field=134" TargetMode = "External"/><Relationship Id="rId60" Type="http://schemas.openxmlformats.org/officeDocument/2006/relationships/hyperlink" Target="https://login.consultant.ru/link/?req=doc&amp;base=LAW&amp;n=388713&amp;date=07.07.2026&amp;dst=100586&amp;field=134" TargetMode = "External"/><Relationship Id="rId61" Type="http://schemas.openxmlformats.org/officeDocument/2006/relationships/hyperlink" Target="https://login.consultant.ru/link/?req=doc&amp;base=LAW&amp;n=426251&amp;date=07.07.2026" TargetMode = "External"/><Relationship Id="rId62" Type="http://schemas.openxmlformats.org/officeDocument/2006/relationships/hyperlink" Target="https://login.consultant.ru/link/?req=doc&amp;base=LAW&amp;n=520105&amp;date=07.07.2026&amp;dst=100169&amp;field=134" TargetMode = "External"/><Relationship Id="rId63" Type="http://schemas.openxmlformats.org/officeDocument/2006/relationships/hyperlink" Target="https://login.consultant.ru/link/?req=doc&amp;base=LAW&amp;n=520105&amp;date=07.07.2026&amp;dst=100107&amp;field=134" TargetMode = "External"/><Relationship Id="rId64" Type="http://schemas.openxmlformats.org/officeDocument/2006/relationships/hyperlink" Target="https://login.consultant.ru/link/?req=doc&amp;base=LAW&amp;n=520105&amp;date=07.07.2026&amp;dst=100169&amp;field=134" TargetMode = "External"/><Relationship Id="rId65" Type="http://schemas.openxmlformats.org/officeDocument/2006/relationships/hyperlink" Target="https://login.consultant.ru/link/?req=doc&amp;base=LAW&amp;n=520105&amp;date=07.07.2026&amp;dst=100169&amp;field=134" TargetMode = "External"/><Relationship Id="rId66" Type="http://schemas.openxmlformats.org/officeDocument/2006/relationships/hyperlink" Target="https://login.consultant.ru/link/?req=doc&amp;base=LAW&amp;n=388713&amp;date=07.07.2026&amp;dst=100586&amp;field=134" TargetMode = "External"/><Relationship Id="rId67" Type="http://schemas.openxmlformats.org/officeDocument/2006/relationships/hyperlink" Target="https://login.consultant.ru/link/?req=doc&amp;base=LAW&amp;n=212851&amp;date=07.07.2026&amp;dst=100363&amp;field=134" TargetMode = "External"/><Relationship Id="rId68" Type="http://schemas.openxmlformats.org/officeDocument/2006/relationships/hyperlink" Target="https://login.consultant.ru/link/?req=doc&amp;base=LAW&amp;n=510786&amp;date=07.07.2026" TargetMode = "External"/><Relationship Id="rId69" Type="http://schemas.openxmlformats.org/officeDocument/2006/relationships/hyperlink" Target="https://login.consultant.ru/link/?req=doc&amp;base=LAW&amp;n=527200&amp;date=07.07.2026&amp;dst=127&amp;field=134" TargetMode = "External"/><Relationship Id="rId70" Type="http://schemas.openxmlformats.org/officeDocument/2006/relationships/hyperlink" Target="https://login.consultant.ru/link/?req=doc&amp;base=LAW&amp;n=527200&amp;date=07.07.2026&amp;dst=346&amp;field=134" TargetMode = "External"/><Relationship Id="rId71" Type="http://schemas.openxmlformats.org/officeDocument/2006/relationships/hyperlink" Target="https://login.consultant.ru/link/?req=doc&amp;base=LAW&amp;n=431014&amp;date=07.07.2026" TargetMode = "External"/><Relationship Id="rId72" Type="http://schemas.openxmlformats.org/officeDocument/2006/relationships/hyperlink" Target="https://login.consultant.ru/link/?req=doc&amp;base=LAW&amp;n=527200&amp;date=07.07.2026&amp;dst=298&amp;field=134" TargetMode = "External"/><Relationship Id="rId73" Type="http://schemas.openxmlformats.org/officeDocument/2006/relationships/hyperlink" Target="https://login.consultant.ru/link/?req=doc&amp;base=LAW&amp;n=527200&amp;date=07.07.2026&amp;dst=124&amp;field=134" TargetMode = "External"/><Relationship Id="rId74" Type="http://schemas.openxmlformats.org/officeDocument/2006/relationships/hyperlink" Target="https://login.consultant.ru/link/?req=doc&amp;base=LAW&amp;n=527200&amp;date=07.07.2026&amp;dst=100554&amp;field=134" TargetMode = "External"/><Relationship Id="rId75" Type="http://schemas.openxmlformats.org/officeDocument/2006/relationships/hyperlink" Target="https://login.consultant.ru/link/?req=doc&amp;base=LAW&amp;n=527200&amp;date=07.07.2026&amp;dst=309&amp;field=134" TargetMode = "External"/><Relationship Id="rId76" Type="http://schemas.openxmlformats.org/officeDocument/2006/relationships/hyperlink" Target="https://login.consultant.ru/link/?req=doc&amp;base=LAW&amp;n=527200&amp;date=07.07.2026&amp;dst=126&amp;field=134" TargetMode = "External"/><Relationship Id="rId77" Type="http://schemas.openxmlformats.org/officeDocument/2006/relationships/hyperlink" Target="https://login.consultant.ru/link/?req=doc&amp;base=LAW&amp;n=527200&amp;date=07.07.2026&amp;dst=118&amp;field=134" TargetMode = "External"/><Relationship Id="rId78" Type="http://schemas.openxmlformats.org/officeDocument/2006/relationships/hyperlink" Target="https://login.consultant.ru/link/?req=doc&amp;base=LAW&amp;n=538020&amp;date=07.07.2026" TargetMode = "External"/><Relationship Id="rId79" Type="http://schemas.openxmlformats.org/officeDocument/2006/relationships/hyperlink" Target="https://login.consultant.ru/link/?req=doc&amp;base=LAW&amp;n=538020&amp;date=07.07.2026" TargetMode = "External"/><Relationship Id="rId80" Type="http://schemas.openxmlformats.org/officeDocument/2006/relationships/hyperlink" Target="https://login.consultant.ru/link/?req=doc&amp;base=LAW&amp;n=510786&amp;date=07.07.2026" TargetMode = "External"/><Relationship Id="rId81" Type="http://schemas.openxmlformats.org/officeDocument/2006/relationships/hyperlink" Target="https://login.consultant.ru/link/?req=doc&amp;base=LAW&amp;n=527200&amp;date=07.07.2026&amp;dst=346&amp;field=134" TargetMode = "External"/><Relationship Id="rId82" Type="http://schemas.openxmlformats.org/officeDocument/2006/relationships/hyperlink" Target="https://login.consultant.ru/link/?req=doc&amp;base=LAW&amp;n=527200&amp;date=07.07.2026&amp;dst=360&amp;field=134" TargetMode = "External"/><Relationship Id="rId83" Type="http://schemas.openxmlformats.org/officeDocument/2006/relationships/hyperlink" Target="https://login.consultant.ru/link/?req=doc&amp;base=LAW&amp;n=527200&amp;date=07.07.2026&amp;dst=100396&amp;field=134" TargetMode = "External"/><Relationship Id="rId84" Type="http://schemas.openxmlformats.org/officeDocument/2006/relationships/hyperlink" Target="https://login.consultant.ru/link/?req=doc&amp;base=LAW&amp;n=527200&amp;date=07.07.2026&amp;dst=396&amp;field=134" TargetMode = "External"/><Relationship Id="rId85" Type="http://schemas.openxmlformats.org/officeDocument/2006/relationships/hyperlink" Target="https://login.consultant.ru/link/?req=doc&amp;base=LAW&amp;n=536637&amp;date=07.07.2026" TargetMode = "External"/><Relationship Id="rId86" Type="http://schemas.openxmlformats.org/officeDocument/2006/relationships/hyperlink" Target="https://login.consultant.ru/link/?req=doc&amp;base=LAW&amp;n=516533&amp;date=07.07.2026" TargetMode = "External"/><Relationship Id="rId87" Type="http://schemas.openxmlformats.org/officeDocument/2006/relationships/hyperlink" Target="https://login.consultant.ru/link/?req=doc&amp;base=LAW&amp;n=484555&amp;date=07.07.2026&amp;dst=100014&amp;field=134" TargetMode = "External"/><Relationship Id="rId88" Type="http://schemas.openxmlformats.org/officeDocument/2006/relationships/hyperlink" Target="https://login.consultant.ru/link/?req=doc&amp;base=LAW&amp;n=484555&amp;date=07.07.2026" TargetMode = "External"/><Relationship Id="rId89" Type="http://schemas.openxmlformats.org/officeDocument/2006/relationships/hyperlink" Target="https://login.consultant.ru/link/?req=doc&amp;base=LAW&amp;n=411721&amp;date=07.07.2026" TargetMode = "External"/><Relationship Id="rId90" Type="http://schemas.openxmlformats.org/officeDocument/2006/relationships/hyperlink" Target="https://login.consultant.ru/link/?req=doc&amp;base=LAW&amp;n=516533&amp;date=07.07.2026" TargetMode = "External"/><Relationship Id="rId91" Type="http://schemas.openxmlformats.org/officeDocument/2006/relationships/hyperlink" Target="https://login.consultant.ru/link/?req=doc&amp;base=LAW&amp;n=527200&amp;date=07.07.2026&amp;dst=386&amp;field=134" TargetMode = "External"/><Relationship Id="rId92" Type="http://schemas.openxmlformats.org/officeDocument/2006/relationships/hyperlink" Target="https://login.consultant.ru/link/?req=doc&amp;base=LAW&amp;n=527200&amp;date=07.07.2026&amp;dst=386&amp;field=134" TargetMode = "External"/><Relationship Id="rId93" Type="http://schemas.openxmlformats.org/officeDocument/2006/relationships/hyperlink" Target="https://login.consultant.ru/link/?req=doc&amp;base=LAW&amp;n=527200&amp;date=07.07.2026&amp;dst=100493&amp;field=134" TargetMode = "External"/><Relationship Id="rId94" Type="http://schemas.openxmlformats.org/officeDocument/2006/relationships/hyperlink" Target="https://login.consultant.ru/link/?req=doc&amp;base=LAW&amp;n=527200&amp;date=07.07.2026&amp;dst=386&amp;field=134" TargetMode = "External"/><Relationship Id="rId95" Type="http://schemas.openxmlformats.org/officeDocument/2006/relationships/hyperlink" Target="https://login.consultant.ru/link/?req=doc&amp;base=LAW&amp;n=527200&amp;date=07.07.2026&amp;dst=100089&amp;field=134" TargetMode = "External"/><Relationship Id="rId96" Type="http://schemas.openxmlformats.org/officeDocument/2006/relationships/hyperlink" Target="https://login.consultant.ru/link/?req=doc&amp;base=LAW&amp;n=527200&amp;date=07.07.2026&amp;dst=13&amp;field=134" TargetMode = "External"/><Relationship Id="rId97" Type="http://schemas.openxmlformats.org/officeDocument/2006/relationships/hyperlink" Target="https://login.consultant.ru/link/?req=doc&amp;base=LAW&amp;n=527200&amp;date=07.07.2026&amp;dst=167&amp;field=134" TargetMode = "External"/><Relationship Id="rId98" Type="http://schemas.openxmlformats.org/officeDocument/2006/relationships/hyperlink" Target="https://login.consultant.ru/link/?req=doc&amp;base=LAW&amp;n=527200&amp;date=07.07.2026&amp;dst=162&amp;field=134" TargetMode = "External"/><Relationship Id="rId99" Type="http://schemas.openxmlformats.org/officeDocument/2006/relationships/hyperlink" Target="https://login.consultant.ru/link/?req=doc&amp;base=LAW&amp;n=527200&amp;date=07.07.2026&amp;dst=397&amp;field=134" TargetMode = "External"/><Relationship Id="rId100" Type="http://schemas.openxmlformats.org/officeDocument/2006/relationships/hyperlink" Target="https://login.consultant.ru/link/?req=doc&amp;base=LAW&amp;n=527200&amp;date=07.07.2026&amp;dst=162&amp;field=134" TargetMode = "External"/><Relationship Id="rId101" Type="http://schemas.openxmlformats.org/officeDocument/2006/relationships/hyperlink" Target="https://login.consultant.ru/link/?req=doc&amp;base=LAW&amp;n=516533&amp;date=07.07.2026" TargetMode = "External"/><Relationship Id="rId102" Type="http://schemas.openxmlformats.org/officeDocument/2006/relationships/hyperlink" Target="https://login.consultant.ru/link/?req=doc&amp;base=LAW&amp;n=458803&amp;date=07.07.2026&amp;dst=100008&amp;field=134" TargetMode = "External"/><Relationship Id="rId103" Type="http://schemas.openxmlformats.org/officeDocument/2006/relationships/hyperlink" Target="https://login.consultant.ru/link/?req=doc&amp;base=LAW&amp;n=149911&amp;date=07.07.2026" TargetMode = "External"/><Relationship Id="rId104" Type="http://schemas.openxmlformats.org/officeDocument/2006/relationships/hyperlink" Target="https://login.consultant.ru/link/?req=doc&amp;base=LAW&amp;n=348537&amp;date=07.07.2026&amp;dst=100013&amp;field=134" TargetMode = "External"/><Relationship Id="rId105" Type="http://schemas.openxmlformats.org/officeDocument/2006/relationships/hyperlink" Target="https://login.consultant.ru/link/?req=doc&amp;base=LAW&amp;n=348537&amp;date=07.07.2026" TargetMode = "External"/><Relationship Id="rId106" Type="http://schemas.openxmlformats.org/officeDocument/2006/relationships/hyperlink" Target="https://login.consultant.ru/link/?req=doc&amp;base=LAW&amp;n=149911&amp;date=07.07.2026" TargetMode = "External"/><Relationship Id="rId107" Type="http://schemas.openxmlformats.org/officeDocument/2006/relationships/hyperlink" Target="https://login.consultant.ru/link/?req=doc&amp;base=LAW&amp;n=149911&amp;date=07.07.2026" TargetMode = "External"/><Relationship Id="rId108" Type="http://schemas.openxmlformats.org/officeDocument/2006/relationships/hyperlink" Target="https://login.consultant.ru/link/?req=doc&amp;base=LAW&amp;n=527200&amp;date=07.07.2026&amp;dst=162&amp;field=134" TargetMode = "External"/><Relationship Id="rId109" Type="http://schemas.openxmlformats.org/officeDocument/2006/relationships/hyperlink" Target="https://login.consultant.ru/link/?req=doc&amp;base=LAW&amp;n=149911&amp;date=07.07.2026" TargetMode = "External"/><Relationship Id="rId110" Type="http://schemas.openxmlformats.org/officeDocument/2006/relationships/hyperlink" Target="https://login.consultant.ru/link/?req=doc&amp;base=LAW&amp;n=527200&amp;date=07.07.2026&amp;dst=162&amp;field=134" TargetMode = "External"/><Relationship Id="rId111" Type="http://schemas.openxmlformats.org/officeDocument/2006/relationships/hyperlink" Target="https://login.consultant.ru/link/?req=doc&amp;base=LAW&amp;n=527200&amp;date=07.07.2026&amp;dst=162&amp;field=134" TargetMode = "External"/><Relationship Id="rId112" Type="http://schemas.openxmlformats.org/officeDocument/2006/relationships/hyperlink" Target="https://login.consultant.ru/link/?req=doc&amp;base=LAW&amp;n=527200&amp;date=07.07.2026&amp;dst=162&amp;field=134" TargetMode = "External"/><Relationship Id="rId113" Type="http://schemas.openxmlformats.org/officeDocument/2006/relationships/hyperlink" Target="https://login.consultant.ru/link/?req=doc&amp;base=LAW&amp;n=527200&amp;date=07.07.2026&amp;dst=197&amp;field=134" TargetMode = "External"/><Relationship Id="rId114" Type="http://schemas.openxmlformats.org/officeDocument/2006/relationships/hyperlink" Target="https://login.consultant.ru/link/?req=doc&amp;base=LAW&amp;n=527200&amp;date=07.07.2026&amp;dst=162&amp;field=134" TargetMode = "External"/><Relationship Id="rId115" Type="http://schemas.openxmlformats.org/officeDocument/2006/relationships/hyperlink" Target="https://login.consultant.ru/link/?req=doc&amp;base=LAW&amp;n=527200&amp;date=07.07.2026&amp;dst=162&amp;field=134" TargetMode = "External"/><Relationship Id="rId116" Type="http://schemas.openxmlformats.org/officeDocument/2006/relationships/hyperlink" Target="https://login.consultant.ru/link/?req=doc&amp;base=LAW&amp;n=527200&amp;date=07.07.2026&amp;dst=399&amp;field=134" TargetMode = "External"/><Relationship Id="rId117" Type="http://schemas.openxmlformats.org/officeDocument/2006/relationships/hyperlink" Target="https://login.consultant.ru/link/?req=doc&amp;base=LAW&amp;n=149911&amp;date=07.07.2026" TargetMode = "External"/><Relationship Id="rId118" Type="http://schemas.openxmlformats.org/officeDocument/2006/relationships/hyperlink" Target="https://login.consultant.ru/link/?req=doc&amp;base=LAW&amp;n=516533&amp;date=07.07.2026" TargetMode = "External"/><Relationship Id="rId119" Type="http://schemas.openxmlformats.org/officeDocument/2006/relationships/hyperlink" Target="https://login.consultant.ru/link/?req=doc&amp;base=LAW&amp;n=458803&amp;date=07.07.2026&amp;dst=100008&amp;field=134" TargetMode = "External"/><Relationship Id="rId120" Type="http://schemas.openxmlformats.org/officeDocument/2006/relationships/hyperlink" Target="https://login.consultant.ru/link/?req=doc&amp;base=LAW&amp;n=149911&amp;date=07.07.2026" TargetMode = "External"/><Relationship Id="rId121" Type="http://schemas.openxmlformats.org/officeDocument/2006/relationships/hyperlink" Target="https://login.consultant.ru/link/?req=doc&amp;base=LAW&amp;n=348537&amp;date=07.07.2026&amp;dst=100013&amp;field=134" TargetMode = "External"/><Relationship Id="rId122" Type="http://schemas.openxmlformats.org/officeDocument/2006/relationships/hyperlink" Target="https://login.consultant.ru/link/?req=doc&amp;base=LAW&amp;n=348537&amp;date=07.07.2026" TargetMode = "External"/><Relationship Id="rId123" Type="http://schemas.openxmlformats.org/officeDocument/2006/relationships/hyperlink" Target="https://login.consultant.ru/link/?req=doc&amp;base=LAW&amp;n=527200&amp;date=07.07.2026&amp;dst=412&amp;field=134" TargetMode = "External"/><Relationship Id="rId124" Type="http://schemas.openxmlformats.org/officeDocument/2006/relationships/hyperlink" Target="https://login.consultant.ru/link/?req=doc&amp;base=LAW&amp;n=527200&amp;date=07.07.2026&amp;dst=100153&amp;field=134" TargetMode = "External"/><Relationship Id="rId125" Type="http://schemas.openxmlformats.org/officeDocument/2006/relationships/hyperlink" Target="https://login.consultant.ru/link/?req=doc&amp;base=LAW&amp;n=516533&amp;date=07.07.2026" TargetMode = "External"/><Relationship Id="rId126" Type="http://schemas.openxmlformats.org/officeDocument/2006/relationships/hyperlink" Target="https://login.consultant.ru/link/?req=doc&amp;base=LAW&amp;n=458803&amp;date=07.07.2026&amp;dst=100008&amp;field=134" TargetMode = "External"/><Relationship Id="rId127" Type="http://schemas.openxmlformats.org/officeDocument/2006/relationships/hyperlink" Target="https://login.consultant.ru/link/?req=doc&amp;base=LAW&amp;n=348537&amp;date=07.07.2026&amp;dst=100013&amp;field=134" TargetMode = "External"/><Relationship Id="rId128" Type="http://schemas.openxmlformats.org/officeDocument/2006/relationships/hyperlink" Target="https://login.consultant.ru/link/?req=doc&amp;base=LAW&amp;n=348537&amp;date=07.07.2026" TargetMode = "External"/><Relationship Id="rId129" Type="http://schemas.openxmlformats.org/officeDocument/2006/relationships/hyperlink" Target="https://login.consultant.ru/link/?req=doc&amp;base=LAW&amp;n=371416&amp;date=07.07.2026&amp;dst=100016&amp;field=134" TargetMode = "External"/><Relationship Id="rId130" Type="http://schemas.openxmlformats.org/officeDocument/2006/relationships/hyperlink" Target="https://login.consultant.ru/link/?req=doc&amp;base=LAW&amp;n=371416&amp;date=07.07.2026" TargetMode = "External"/><Relationship Id="rId131" Type="http://schemas.openxmlformats.org/officeDocument/2006/relationships/hyperlink" Target="https://login.consultant.ru/link/?req=doc&amp;base=LAW&amp;n=527200&amp;date=07.07.2026&amp;dst=100153&amp;field=134" TargetMode = "External"/><Relationship Id="rId132" Type="http://schemas.openxmlformats.org/officeDocument/2006/relationships/hyperlink" Target="https://login.consultant.ru/link/?req=doc&amp;base=LAW&amp;n=527200&amp;date=07.07.2026&amp;dst=100153&amp;field=134" TargetMode = "External"/><Relationship Id="rId133" Type="http://schemas.openxmlformats.org/officeDocument/2006/relationships/hyperlink" Target="https://login.consultant.ru/link/?req=doc&amp;base=LAW&amp;n=527200&amp;date=07.07.2026&amp;dst=100153&amp;field=134" TargetMode = "External"/><Relationship Id="rId134" Type="http://schemas.openxmlformats.org/officeDocument/2006/relationships/hyperlink" Target="https://login.consultant.ru/link/?req=doc&amp;base=LAW&amp;n=527200&amp;date=07.07.2026&amp;dst=387&amp;field=134" TargetMode = "External"/><Relationship Id="rId135" Type="http://schemas.openxmlformats.org/officeDocument/2006/relationships/hyperlink" Target="https://login.consultant.ru/link/?req=doc&amp;base=LAW&amp;n=527200&amp;date=07.07.2026&amp;dst=388&amp;field=134" TargetMode = "External"/><Relationship Id="rId136" Type="http://schemas.openxmlformats.org/officeDocument/2006/relationships/hyperlink" Target="https://login.consultant.ru/link/?req=doc&amp;base=LAW&amp;n=527200&amp;date=07.07.2026&amp;dst=387&amp;field=134" TargetMode = "External"/><Relationship Id="rId137" Type="http://schemas.openxmlformats.org/officeDocument/2006/relationships/hyperlink" Target="https://login.consultant.ru/link/?req=doc&amp;base=LAW&amp;n=527200&amp;date=07.07.2026&amp;dst=390&amp;field=134" TargetMode = "External"/><Relationship Id="rId138" Type="http://schemas.openxmlformats.org/officeDocument/2006/relationships/hyperlink" Target="https://login.consultant.ru/link/?req=doc&amp;base=LAW&amp;n=527200&amp;date=07.07.2026&amp;dst=100682&amp;field=134" TargetMode = "External"/><Relationship Id="rId139" Type="http://schemas.openxmlformats.org/officeDocument/2006/relationships/hyperlink" Target="https://login.consultant.ru/link/?req=doc&amp;base=LAW&amp;n=527200&amp;date=07.07.2026&amp;dst=162&amp;field=134" TargetMode = "External"/><Relationship Id="rId140" Type="http://schemas.openxmlformats.org/officeDocument/2006/relationships/hyperlink" Target="https://login.consultant.ru/link/?req=doc&amp;base=LAW&amp;n=372299&amp;date=07.07.2026&amp;dst=100013&amp;field=134" TargetMode = "External"/><Relationship Id="rId141" Type="http://schemas.openxmlformats.org/officeDocument/2006/relationships/hyperlink" Target="https://login.consultant.ru/link/?req=doc&amp;base=LAW&amp;n=372299&amp;date=07.07.2026&amp;dst=100360&amp;field=134" TargetMode = "External"/><Relationship Id="rId142" Type="http://schemas.openxmlformats.org/officeDocument/2006/relationships/hyperlink" Target="https://login.consultant.ru/link/?req=doc&amp;base=LAW&amp;n=527200&amp;date=07.07.2026&amp;dst=162&amp;field=134" TargetMode = "External"/><Relationship Id="rId143" Type="http://schemas.openxmlformats.org/officeDocument/2006/relationships/hyperlink" Target="https://login.consultant.ru/link/?req=doc&amp;base=LAW&amp;n=527200&amp;date=07.07.2026&amp;dst=13&amp;field=134" TargetMode = "External"/><Relationship Id="rId144" Type="http://schemas.openxmlformats.org/officeDocument/2006/relationships/hyperlink" Target="https://login.consultant.ru/link/?req=doc&amp;base=LAW&amp;n=527200&amp;date=07.07.2026&amp;dst=355&amp;field=134" TargetMode = "External"/><Relationship Id="rId145" Type="http://schemas.openxmlformats.org/officeDocument/2006/relationships/hyperlink" Target="https://login.consultant.ru/link/?req=doc&amp;base=LAW&amp;n=527200&amp;date=07.07.2026&amp;dst=210&amp;field=134" TargetMode = "External"/><Relationship Id="rId146" Type="http://schemas.openxmlformats.org/officeDocument/2006/relationships/hyperlink" Target="https://login.consultant.ru/link/?req=doc&amp;base=LAW&amp;n=527200&amp;date=07.07.2026&amp;dst=183&amp;field=134" TargetMode = "External"/><Relationship Id="rId147" Type="http://schemas.openxmlformats.org/officeDocument/2006/relationships/hyperlink" Target="https://login.consultant.ru/link/?req=doc&amp;base=LAW&amp;n=527200&amp;date=07.07.2026&amp;dst=223&amp;field=134" TargetMode = "External"/><Relationship Id="rId148" Type="http://schemas.openxmlformats.org/officeDocument/2006/relationships/hyperlink" Target="https://login.consultant.ru/link/?req=doc&amp;base=LAW&amp;n=527200&amp;date=07.07.2026&amp;dst=395&amp;field=134" TargetMode = "External"/><Relationship Id="rId149" Type="http://schemas.openxmlformats.org/officeDocument/2006/relationships/hyperlink" Target="https://login.consultant.ru/link/?req=doc&amp;base=LAW&amp;n=527200&amp;date=07.07.2026&amp;dst=162&amp;field=134" TargetMode = "External"/><Relationship Id="rId150" Type="http://schemas.openxmlformats.org/officeDocument/2006/relationships/hyperlink" Target="https://login.consultant.ru/link/?req=doc&amp;base=LAW&amp;n=212851&amp;date=07.07.2026&amp;dst=100455&amp;field=134" TargetMode = "External"/><Relationship Id="rId151" Type="http://schemas.openxmlformats.org/officeDocument/2006/relationships/hyperlink" Target="https://login.consultant.ru/link/?req=doc&amp;base=LAW&amp;n=212851&amp;date=07.07.2026&amp;dst=100443&amp;field=134" TargetMode = "External"/><Relationship Id="rId152" Type="http://schemas.openxmlformats.org/officeDocument/2006/relationships/hyperlink" Target="https://login.consultant.ru/link/?req=doc&amp;base=LAW&amp;n=527200&amp;date=07.07.2026&amp;dst=102&amp;field=134" TargetMode = "External"/><Relationship Id="rId153" Type="http://schemas.openxmlformats.org/officeDocument/2006/relationships/hyperlink" Target="https://login.consultant.ru/link/?req=doc&amp;base=LAW&amp;n=527200&amp;date=07.07.2026&amp;dst=227&amp;field=134" TargetMode = "External"/><Relationship Id="rId154" Type="http://schemas.openxmlformats.org/officeDocument/2006/relationships/hyperlink" Target="https://login.consultant.ru/link/?req=doc&amp;base=LAW&amp;n=527200&amp;date=07.07.2026&amp;dst=231&amp;field=134" TargetMode = "External"/><Relationship Id="rId155" Type="http://schemas.openxmlformats.org/officeDocument/2006/relationships/hyperlink" Target="https://login.consultant.ru/link/?req=doc&amp;base=LAW&amp;n=527200&amp;date=07.07.2026&amp;dst=100531&amp;field=134" TargetMode = "External"/><Relationship Id="rId156" Type="http://schemas.openxmlformats.org/officeDocument/2006/relationships/hyperlink" Target="https://login.consultant.ru/link/?req=doc&amp;base=LAW&amp;n=527200&amp;date=07.07.2026&amp;dst=100531&amp;field=134" TargetMode = "External"/><Relationship Id="rId157" Type="http://schemas.openxmlformats.org/officeDocument/2006/relationships/hyperlink" Target="https://login.consultant.ru/link/?req=doc&amp;base=LAW&amp;n=527200&amp;date=07.07.2026&amp;dst=100531&amp;field=134" TargetMode = "External"/><Relationship Id="rId158" Type="http://schemas.openxmlformats.org/officeDocument/2006/relationships/hyperlink" Target="https://login.consultant.ru/link/?req=doc&amp;base=LAW&amp;n=527200&amp;date=07.07.2026&amp;dst=100483&amp;field=134" TargetMode = "External"/><Relationship Id="rId159" Type="http://schemas.openxmlformats.org/officeDocument/2006/relationships/hyperlink" Target="https://login.consultant.ru/link/?req=doc&amp;base=LAW&amp;n=527200&amp;date=07.07.2026&amp;dst=278&amp;field=134" TargetMode = "External"/><Relationship Id="rId160" Type="http://schemas.openxmlformats.org/officeDocument/2006/relationships/hyperlink" Target="https://login.consultant.ru/link/?req=doc&amp;base=LAW&amp;n=527200&amp;date=07.07.2026&amp;dst=100484&amp;field=134" TargetMode = "External"/><Relationship Id="rId161" Type="http://schemas.openxmlformats.org/officeDocument/2006/relationships/hyperlink" Target="https://login.consultant.ru/link/?req=doc&amp;base=LAW&amp;n=527200&amp;date=07.07.2026&amp;dst=100388&amp;field=134" TargetMode = "External"/><Relationship Id="rId162" Type="http://schemas.openxmlformats.org/officeDocument/2006/relationships/image" Target="media/image2.wmf"/><Relationship Id="rId163" Type="http://schemas.openxmlformats.org/officeDocument/2006/relationships/image" Target="media/image3.wmf"/><Relationship Id="rId164" Type="http://schemas.openxmlformats.org/officeDocument/2006/relationships/hyperlink" Target="https://login.consultant.ru/link/?req=doc&amp;base=LAW&amp;n=527200&amp;date=07.07.2026&amp;dst=50&amp;field=134" TargetMode = "External"/><Relationship Id="rId165" Type="http://schemas.openxmlformats.org/officeDocument/2006/relationships/hyperlink" Target="https://login.consultant.ru/link/?req=doc&amp;base=LAW&amp;n=527200&amp;date=07.07.2026&amp;dst=50&amp;field=134" TargetMode = "External"/><Relationship Id="rId166" Type="http://schemas.openxmlformats.org/officeDocument/2006/relationships/hyperlink" Target="https://login.consultant.ru/link/?req=doc&amp;base=LAW&amp;n=527200&amp;date=07.07.2026&amp;dst=50&amp;field=134" TargetMode = "External"/><Relationship Id="rId167" Type="http://schemas.openxmlformats.org/officeDocument/2006/relationships/hyperlink" Target="https://login.consultant.ru/link/?req=doc&amp;base=LAW&amp;n=527200&amp;date=07.07.2026&amp;dst=100531&amp;field=134" TargetMode = "External"/><Relationship Id="rId168" Type="http://schemas.openxmlformats.org/officeDocument/2006/relationships/hyperlink" Target="https://login.consultant.ru/link/?req=doc&amp;base=LAW&amp;n=527200&amp;date=07.07.2026&amp;dst=50&amp;field=134" TargetMode = "External"/><Relationship Id="rId169" Type="http://schemas.openxmlformats.org/officeDocument/2006/relationships/hyperlink" Target="https://login.consultant.ru/link/?req=doc&amp;base=LAW&amp;n=527200&amp;date=07.07.2026&amp;dst=100484&amp;field=134" TargetMode = "External"/><Relationship Id="rId170" Type="http://schemas.openxmlformats.org/officeDocument/2006/relationships/hyperlink" Target="https://login.consultant.ru/link/?req=doc&amp;base=LAW&amp;n=527200&amp;date=07.07.2026&amp;dst=50&amp;field=134" TargetMode = "External"/><Relationship Id="rId171" Type="http://schemas.openxmlformats.org/officeDocument/2006/relationships/hyperlink" Target="https://login.consultant.ru/link/?req=doc&amp;base=LAW&amp;n=527200&amp;date=07.07.2026&amp;dst=100498&amp;field=134" TargetMode = "External"/><Relationship Id="rId172" Type="http://schemas.openxmlformats.org/officeDocument/2006/relationships/hyperlink" Target="https://login.consultant.ru/link/?req=doc&amp;base=LAW&amp;n=527200&amp;date=07.07.2026&amp;dst=183&amp;field=134" TargetMode = "External"/><Relationship Id="rId173" Type="http://schemas.openxmlformats.org/officeDocument/2006/relationships/hyperlink" Target="https://login.consultant.ru/link/?req=doc&amp;base=LAW&amp;n=527200&amp;date=07.07.2026&amp;dst=183&amp;field=134" TargetMode = "External"/><Relationship Id="rId174" Type="http://schemas.openxmlformats.org/officeDocument/2006/relationships/hyperlink" Target="https://login.consultant.ru/link/?req=doc&amp;base=LAW&amp;n=527200&amp;date=07.07.2026&amp;dst=164&amp;field=134" TargetMode = "External"/><Relationship Id="rId175" Type="http://schemas.openxmlformats.org/officeDocument/2006/relationships/hyperlink" Target="https://login.consultant.ru/link/?req=doc&amp;base=EXP&amp;n=763941&amp;date=07.07.2026" TargetMode = "External"/><Relationship Id="rId176" Type="http://schemas.openxmlformats.org/officeDocument/2006/relationships/hyperlink" Target="https://login.consultant.ru/link/?req=doc&amp;base=LAW&amp;n=371416&amp;date=07.07.2026&amp;dst=100016&amp;field=134" TargetMode = "External"/><Relationship Id="rId177" Type="http://schemas.openxmlformats.org/officeDocument/2006/relationships/hyperlink" Target="https://login.consultant.ru/link/?req=doc&amp;base=LAW&amp;n=371416&amp;date=07.07.2026" TargetMode = "External"/><Relationship Id="rId178" Type="http://schemas.openxmlformats.org/officeDocument/2006/relationships/hyperlink" Target="https://login.consultant.ru/link/?req=doc&amp;base=LAW&amp;n=527200&amp;date=07.07.2026&amp;dst=100518&amp;field=134" TargetMode = "External"/><Relationship Id="rId179" Type="http://schemas.openxmlformats.org/officeDocument/2006/relationships/hyperlink" Target="https://login.consultant.ru/link/?req=doc&amp;base=LAW&amp;n=527200&amp;date=07.07.2026&amp;dst=100531&amp;field=134" TargetMode = "External"/><Relationship Id="rId180" Type="http://schemas.openxmlformats.org/officeDocument/2006/relationships/hyperlink" Target="https://login.consultant.ru/link/?req=doc&amp;base=LAW&amp;n=527200&amp;date=07.07.2026&amp;dst=100531&amp;field=134" TargetMode = "External"/><Relationship Id="rId181" Type="http://schemas.openxmlformats.org/officeDocument/2006/relationships/hyperlink" Target="https://login.consultant.ru/link/?req=doc&amp;base=LAW&amp;n=527200&amp;date=07.07.2026&amp;dst=285&amp;field=134" TargetMode = "External"/><Relationship Id="rId182" Type="http://schemas.openxmlformats.org/officeDocument/2006/relationships/hyperlink" Target="https://login.consultant.ru/link/?req=doc&amp;base=LAW&amp;n=527200&amp;date=07.07.2026&amp;dst=285&amp;field=134" TargetMode = "External"/><Relationship Id="rId183" Type="http://schemas.openxmlformats.org/officeDocument/2006/relationships/hyperlink" Target="https://login.consultant.ru/link/?req=doc&amp;base=LAW&amp;n=527200&amp;date=07.07.2026&amp;dst=183&amp;field=134" TargetMode = "External"/><Relationship Id="rId184" Type="http://schemas.openxmlformats.org/officeDocument/2006/relationships/hyperlink" Target="https://login.consultant.ru/link/?req=doc&amp;base=LAW&amp;n=527200&amp;date=07.07.2026&amp;dst=236&amp;field=134" TargetMode = "External"/><Relationship Id="rId185" Type="http://schemas.openxmlformats.org/officeDocument/2006/relationships/hyperlink" Target="https://login.consultant.ru/link/?req=doc&amp;base=LAW&amp;n=527200&amp;date=07.07.2026&amp;dst=415&amp;field=134" TargetMode = "External"/><Relationship Id="rId186" Type="http://schemas.openxmlformats.org/officeDocument/2006/relationships/hyperlink" Target="https://login.consultant.ru/link/?req=doc&amp;base=LAW&amp;n=527200&amp;date=07.07.2026&amp;dst=100531&amp;field=134" TargetMode = "External"/><Relationship Id="rId187" Type="http://schemas.openxmlformats.org/officeDocument/2006/relationships/hyperlink" Target="https://login.consultant.ru/link/?req=doc&amp;base=LAW&amp;n=527200&amp;date=07.07.2026&amp;dst=100272&amp;field=134" TargetMode = "External"/><Relationship Id="rId188" Type="http://schemas.openxmlformats.org/officeDocument/2006/relationships/hyperlink" Target="https://login.consultant.ru/link/?req=doc&amp;base=LAW&amp;n=527200&amp;date=07.07.2026&amp;dst=100309&amp;field=134" TargetMode = "External"/><Relationship Id="rId189" Type="http://schemas.openxmlformats.org/officeDocument/2006/relationships/hyperlink" Target="https://login.consultant.ru/link/?req=doc&amp;base=LAW&amp;n=527200&amp;date=07.07.2026&amp;dst=100531&amp;field=134" TargetMode = "External"/><Relationship Id="rId190" Type="http://schemas.openxmlformats.org/officeDocument/2006/relationships/hyperlink" Target="https://login.consultant.ru/link/?req=doc&amp;base=LAW&amp;n=527200&amp;date=07.07.2026&amp;dst=100531&amp;field=134" TargetMode = "External"/><Relationship Id="rId191" Type="http://schemas.openxmlformats.org/officeDocument/2006/relationships/hyperlink" Target="https://login.consultant.ru/link/?req=doc&amp;base=LAW&amp;n=527200&amp;date=07.07.2026&amp;dst=100531&amp;field=134" TargetMode = "External"/><Relationship Id="rId192" Type="http://schemas.openxmlformats.org/officeDocument/2006/relationships/hyperlink" Target="https://login.consultant.ru/link/?req=doc&amp;base=LAW&amp;n=527200&amp;date=07.07.2026&amp;dst=100531&amp;field=134" TargetMode = "External"/><Relationship Id="rId193" Type="http://schemas.openxmlformats.org/officeDocument/2006/relationships/hyperlink" Target="https://login.consultant.ru/link/?req=doc&amp;base=LAW&amp;n=527200&amp;date=07.07.2026&amp;dst=100531&amp;field=134" TargetMode = "External"/><Relationship Id="rId194" Type="http://schemas.openxmlformats.org/officeDocument/2006/relationships/hyperlink" Target="https://login.consultant.ru/link/?req=doc&amp;base=LAW&amp;n=527200&amp;date=07.07.2026&amp;dst=100531&amp;field=134" TargetMode = "External"/><Relationship Id="rId195" Type="http://schemas.openxmlformats.org/officeDocument/2006/relationships/hyperlink" Target="https://login.consultant.ru/link/?req=doc&amp;base=LAW&amp;n=527200&amp;date=07.07.2026&amp;dst=100531&amp;field=134" TargetMode = "External"/><Relationship Id="rId196" Type="http://schemas.openxmlformats.org/officeDocument/2006/relationships/hyperlink" Target="https://login.consultant.ru/link/?req=doc&amp;base=LAW&amp;n=527200&amp;date=07.07.2026&amp;dst=100531&amp;field=134" TargetMode = "External"/><Relationship Id="rId197" Type="http://schemas.openxmlformats.org/officeDocument/2006/relationships/hyperlink" Target="https://login.consultant.ru/link/?req=doc&amp;base=LAW&amp;n=527200&amp;date=07.07.2026&amp;dst=100331&amp;field=134" TargetMode = "External"/><Relationship Id="rId198" Type="http://schemas.openxmlformats.org/officeDocument/2006/relationships/hyperlink" Target="https://login.consultant.ru/link/?req=doc&amp;base=LAW&amp;n=400700&amp;date=07.07.2026&amp;dst=169514&amp;field=134" TargetMode = "External"/><Relationship Id="rId199" Type="http://schemas.openxmlformats.org/officeDocument/2006/relationships/hyperlink" Target="https://login.consultant.ru/link/?req=doc&amp;base=LAW&amp;n=527200&amp;date=07.07.2026&amp;dst=191&amp;field=134" TargetMode = "External"/><Relationship Id="rId200" Type="http://schemas.openxmlformats.org/officeDocument/2006/relationships/hyperlink" Target="https://login.consultant.ru/link/?req=doc&amp;base=LAW&amp;n=527200&amp;date=07.07.2026&amp;dst=100746&amp;field=134" TargetMode = "External"/><Relationship Id="rId201" Type="http://schemas.openxmlformats.org/officeDocument/2006/relationships/hyperlink" Target="https://login.consultant.ru/link/?req=doc&amp;base=LAW&amp;n=527200&amp;date=07.07.2026&amp;dst=100531&amp;field=134" TargetMode = "External"/><Relationship Id="rId202" Type="http://schemas.openxmlformats.org/officeDocument/2006/relationships/hyperlink" Target="https://login.consultant.ru/link/?req=doc&amp;base=LAW&amp;n=527200&amp;date=07.07.2026&amp;dst=100531&amp;field=134" TargetMode = "External"/><Relationship Id="rId203" Type="http://schemas.openxmlformats.org/officeDocument/2006/relationships/hyperlink" Target="https://login.consultant.ru/link/?req=doc&amp;base=LAW&amp;n=527200&amp;date=07.07.2026&amp;dst=100531&amp;field=134" TargetMode = "External"/><Relationship Id="rId204" Type="http://schemas.openxmlformats.org/officeDocument/2006/relationships/hyperlink" Target="https://login.consultant.ru/link/?req=doc&amp;base=LAW&amp;n=527200&amp;date=07.07.2026&amp;dst=100531&amp;field=134" TargetMode = "External"/><Relationship Id="rId205" Type="http://schemas.openxmlformats.org/officeDocument/2006/relationships/hyperlink" Target="https://login.consultant.ru/link/?req=doc&amp;base=LAW&amp;n=527200&amp;date=07.07.2026&amp;dst=236&amp;field=134" TargetMode = "External"/><Relationship Id="rId206" Type="http://schemas.openxmlformats.org/officeDocument/2006/relationships/hyperlink" Target="https://login.consultant.ru/link/?req=doc&amp;base=LAW&amp;n=527200&amp;date=07.07.2026&amp;dst=100531&amp;field=134" TargetMode = "External"/><Relationship Id="rId207" Type="http://schemas.openxmlformats.org/officeDocument/2006/relationships/hyperlink" Target="https://login.consultant.ru/link/?req=doc&amp;base=LAW&amp;n=527200&amp;date=07.07.2026&amp;dst=100531&amp;field=134" TargetMode = "External"/><Relationship Id="rId208" Type="http://schemas.openxmlformats.org/officeDocument/2006/relationships/hyperlink" Target="https://login.consultant.ru/link/?req=doc&amp;base=LAW&amp;n=527200&amp;date=07.07.2026&amp;dst=100531&amp;field=134" TargetMode = "External"/><Relationship Id="rId209" Type="http://schemas.openxmlformats.org/officeDocument/2006/relationships/hyperlink" Target="https://login.consultant.ru/link/?req=doc&amp;base=LAW&amp;n=527200&amp;date=07.07.2026&amp;dst=100531&amp;field=134" TargetMode = "External"/><Relationship Id="rId210" Type="http://schemas.openxmlformats.org/officeDocument/2006/relationships/hyperlink" Target="https://login.consultant.ru/link/?req=doc&amp;base=LAW&amp;n=527200&amp;date=07.07.2026&amp;dst=100531&amp;field=134" TargetMode = "External"/><Relationship Id="rId211" Type="http://schemas.openxmlformats.org/officeDocument/2006/relationships/hyperlink" Target="https://login.consultant.ru/link/?req=doc&amp;base=LAW&amp;n=527200&amp;date=07.07.2026&amp;dst=100531&amp;field=134" TargetMode = "External"/><Relationship Id="rId212" Type="http://schemas.openxmlformats.org/officeDocument/2006/relationships/hyperlink" Target="https://login.consultant.ru/link/?req=doc&amp;base=LAW&amp;n=527200&amp;date=07.07.2026&amp;dst=100531&amp;field=134" TargetMode = "External"/><Relationship Id="rId213" Type="http://schemas.openxmlformats.org/officeDocument/2006/relationships/hyperlink" Target="https://login.consultant.ru/link/?req=doc&amp;base=LAW&amp;n=527200&amp;date=07.07.2026&amp;dst=100531&amp;field=134" TargetMode = "External"/><Relationship Id="rId214" Type="http://schemas.openxmlformats.org/officeDocument/2006/relationships/hyperlink" Target="https://login.consultant.ru/link/?req=doc&amp;base=LAW&amp;n=527200&amp;date=07.07.2026&amp;dst=100531&amp;field=134" TargetMode = "External"/><Relationship Id="rId215" Type="http://schemas.openxmlformats.org/officeDocument/2006/relationships/hyperlink" Target="https://login.consultant.ru/link/?req=doc&amp;base=LAW&amp;n=527200&amp;date=07.07.2026&amp;dst=100531&amp;field=134" TargetMode = "External"/><Relationship Id="rId216" Type="http://schemas.openxmlformats.org/officeDocument/2006/relationships/hyperlink" Target="https://login.consultant.ru/link/?req=doc&amp;base=LAW&amp;n=527200&amp;date=07.07.2026&amp;dst=100531&amp;field=134" TargetMode = "External"/><Relationship Id="rId217" Type="http://schemas.openxmlformats.org/officeDocument/2006/relationships/image" Target="media/image4.wmf"/><Relationship Id="rId218" Type="http://schemas.openxmlformats.org/officeDocument/2006/relationships/image" Target="media/image5.wmf"/><Relationship Id="rId219" Type="http://schemas.openxmlformats.org/officeDocument/2006/relationships/image" Target="media/image6.wmf"/><Relationship Id="rId220" Type="http://schemas.openxmlformats.org/officeDocument/2006/relationships/image" Target="media/image7.wmf"/><Relationship Id="rId221" Type="http://schemas.openxmlformats.org/officeDocument/2006/relationships/image" Target="media/image8.wmf"/><Relationship Id="rId222" Type="http://schemas.openxmlformats.org/officeDocument/2006/relationships/hyperlink" Target="https://login.consultant.ru/link/?req=doc&amp;base=LAW&amp;n=527200&amp;date=07.07.2026&amp;dst=39&amp;field=134" TargetMode = "External"/><Relationship Id="rId223" Type="http://schemas.openxmlformats.org/officeDocument/2006/relationships/hyperlink" Target="https://login.consultant.ru/link/?req=doc&amp;base=LAW&amp;n=527200&amp;date=07.07.2026&amp;dst=40&amp;field=134" TargetMode = "External"/><Relationship Id="rId224" Type="http://schemas.openxmlformats.org/officeDocument/2006/relationships/hyperlink" Target="https://login.consultant.ru/link/?req=doc&amp;base=LAW&amp;n=527200&amp;date=07.07.2026&amp;dst=100331&amp;field=134" TargetMode = "External"/><Relationship Id="rId225" Type="http://schemas.openxmlformats.org/officeDocument/2006/relationships/hyperlink" Target="https://login.consultant.ru/link/?req=doc&amp;base=LAW&amp;n=511724&amp;date=07.07.2026&amp;dst=951&amp;field=134" TargetMode = "External"/><Relationship Id="rId226" Type="http://schemas.openxmlformats.org/officeDocument/2006/relationships/hyperlink" Target="https://login.consultant.ru/link/?req=doc&amp;base=LAW&amp;n=511724&amp;date=07.07.2026&amp;dst=102430&amp;field=134" TargetMode = "External"/><Relationship Id="rId227" Type="http://schemas.openxmlformats.org/officeDocument/2006/relationships/hyperlink" Target="https://login.consultant.ru/link/?req=doc&amp;base=LAW&amp;n=511724&amp;date=07.07.2026&amp;dst=102574&amp;field=134" TargetMode = "External"/><Relationship Id="rId228" Type="http://schemas.openxmlformats.org/officeDocument/2006/relationships/hyperlink" Target="https://login.consultant.ru/link/?req=doc&amp;base=LAW&amp;n=527200&amp;date=07.07.2026&amp;dst=375&amp;field=134" TargetMode = "External"/><Relationship Id="rId229" Type="http://schemas.openxmlformats.org/officeDocument/2006/relationships/hyperlink" Target="https://login.consultant.ru/link/?req=doc&amp;base=LAW&amp;n=141711&amp;date=07.07.2026&amp;dst=100068&amp;field=134" TargetMode = "External"/><Relationship Id="rId230" Type="http://schemas.openxmlformats.org/officeDocument/2006/relationships/hyperlink" Target="https://login.consultant.ru/link/?req=doc&amp;base=LAW&amp;n=527200&amp;date=07.07.2026&amp;dst=100432&amp;field=134" TargetMode = "External"/><Relationship Id="rId231" Type="http://schemas.openxmlformats.org/officeDocument/2006/relationships/image" Target="media/image9.wmf"/><Relationship Id="rId232" Type="http://schemas.openxmlformats.org/officeDocument/2006/relationships/hyperlink" Target="https://login.consultant.ru/link/?req=doc&amp;base=LAW&amp;n=129344&amp;date=07.07.2026" TargetMode = "External"/><Relationship Id="rId233" Type="http://schemas.openxmlformats.org/officeDocument/2006/relationships/image" Target="media/image10.wmf"/><Relationship Id="rId234" Type="http://schemas.openxmlformats.org/officeDocument/2006/relationships/hyperlink" Target="https://login.consultant.ru/link/?req=doc&amp;base=LAW&amp;n=508506&amp;date=07.07.2026&amp;dst=100755&amp;field=134" TargetMode = "External"/><Relationship Id="rId235" Type="http://schemas.openxmlformats.org/officeDocument/2006/relationships/hyperlink" Target="https://login.consultant.ru/link/?req=doc&amp;base=LAW&amp;n=527200&amp;date=07.07.2026&amp;dst=100331&amp;field=134" TargetMode = "External"/><Relationship Id="rId236" Type="http://schemas.openxmlformats.org/officeDocument/2006/relationships/hyperlink" Target="https://login.consultant.ru/link/?req=doc&amp;base=LAW&amp;n=527200&amp;date=07.07.2026&amp;dst=197&amp;field=134" TargetMode = "External"/><Relationship Id="rId237" Type="http://schemas.openxmlformats.org/officeDocument/2006/relationships/hyperlink" Target="https://login.consultant.ru/link/?req=doc&amp;base=LAW&amp;n=527200&amp;date=07.07.2026&amp;dst=395&amp;field=134" TargetMode = "External"/><Relationship Id="rId238" Type="http://schemas.openxmlformats.org/officeDocument/2006/relationships/hyperlink" Target="https://login.consultant.ru/link/?req=doc&amp;base=LAW&amp;n=527200&amp;date=07.07.2026&amp;dst=100331&amp;field=134" TargetMode = "External"/><Relationship Id="rId239" Type="http://schemas.openxmlformats.org/officeDocument/2006/relationships/hyperlink" Target="https://login.consultant.ru/link/?req=doc&amp;base=LAW&amp;n=527200&amp;date=07.07.2026&amp;dst=100331&amp;field=134" TargetMode = "External"/><Relationship Id="rId240" Type="http://schemas.openxmlformats.org/officeDocument/2006/relationships/hyperlink" Target="https://login.consultant.ru/link/?req=doc&amp;base=LAW&amp;n=527200&amp;date=07.07.2026&amp;dst=395&amp;field=134" TargetMode = "External"/><Relationship Id="rId241" Type="http://schemas.openxmlformats.org/officeDocument/2006/relationships/hyperlink" Target="https://login.consultant.ru/link/?req=doc&amp;base=LAW&amp;n=527200&amp;date=07.07.2026&amp;dst=100331&amp;field=134" TargetMode = "External"/><Relationship Id="rId242" Type="http://schemas.openxmlformats.org/officeDocument/2006/relationships/hyperlink" Target="https://login.consultant.ru/link/?req=doc&amp;base=LAW&amp;n=527200&amp;date=07.07.2026&amp;dst=395&amp;field=134" TargetMode = "External"/><Relationship Id="rId243" Type="http://schemas.openxmlformats.org/officeDocument/2006/relationships/hyperlink" Target="https://login.consultant.ru/link/?req=doc&amp;base=LAW&amp;n=527200&amp;date=07.07.2026&amp;dst=100331&amp;field=134" TargetMode = "External"/><Relationship Id="rId244" Type="http://schemas.openxmlformats.org/officeDocument/2006/relationships/hyperlink" Target="https://login.consultant.ru/link/?req=doc&amp;base=LAW&amp;n=527200&amp;date=07.07.2026&amp;dst=395&amp;field=134" TargetMode = "External"/><Relationship Id="rId245" Type="http://schemas.openxmlformats.org/officeDocument/2006/relationships/hyperlink" Target="https://login.consultant.ru/link/?req=doc&amp;base=LAW&amp;n=527200&amp;date=07.07.2026&amp;dst=162&amp;field=134" TargetMode = "External"/><Relationship Id="rId246" Type="http://schemas.openxmlformats.org/officeDocument/2006/relationships/hyperlink" Target="https://login.consultant.ru/link/?req=doc&amp;base=LAW&amp;n=527200&amp;date=07.07.2026&amp;dst=100746&amp;field=134" TargetMode = "External"/><Relationship Id="rId247" Type="http://schemas.openxmlformats.org/officeDocument/2006/relationships/hyperlink" Target="https://login.consultant.ru/link/?req=doc&amp;base=LAW&amp;n=527200&amp;date=07.07.2026&amp;dst=100531&amp;field=134" TargetMode = "External"/><Relationship Id="rId248" Type="http://schemas.openxmlformats.org/officeDocument/2006/relationships/hyperlink" Target="https://login.consultant.ru/link/?req=doc&amp;base=LAW&amp;n=529368&amp;date=07.07.2026&amp;dst=100005&amp;field=134" TargetMode = "External"/><Relationship Id="rId249" Type="http://schemas.openxmlformats.org/officeDocument/2006/relationships/hyperlink" Target="https://login.consultant.ru/link/?req=doc&amp;base=LAW&amp;n=527200&amp;date=07.07.2026" TargetMode = "External"/><Relationship Id="rId250" Type="http://schemas.openxmlformats.org/officeDocument/2006/relationships/hyperlink" Target="https://login.consultant.ru/link/?req=doc&amp;base=LAW&amp;n=527200&amp;date=07.07.2026&amp;dst=379&amp;field=134" TargetMode = "External"/><Relationship Id="rId251" Type="http://schemas.openxmlformats.org/officeDocument/2006/relationships/hyperlink" Target="https://login.consultant.ru/link/?req=doc&amp;base=LAW&amp;n=523556&amp;date=07.07.2026&amp;dst=100480&amp;field=134" TargetMode = "External"/><Relationship Id="rId252" Type="http://schemas.openxmlformats.org/officeDocument/2006/relationships/hyperlink" Target="https://login.consultant.ru/link/?req=doc&amp;base=LAW&amp;n=527200&amp;date=07.07.2026&amp;dst=381&amp;field=134" TargetMode = "External"/><Relationship Id="rId253" Type="http://schemas.openxmlformats.org/officeDocument/2006/relationships/hyperlink" Target="https://login.consultant.ru/link/?req=doc&amp;base=LAW&amp;n=527200&amp;date=07.07.2026&amp;dst=384&amp;field=134" TargetMode = "External"/><Relationship Id="rId254" Type="http://schemas.openxmlformats.org/officeDocument/2006/relationships/hyperlink" Target="https://login.consultant.ru/link/?req=doc&amp;base=LAW&amp;n=527200&amp;date=07.07.2026" TargetMode = "External"/><Relationship Id="rId255" Type="http://schemas.openxmlformats.org/officeDocument/2006/relationships/hyperlink" Target="https://login.consultant.ru/link/?req=doc&amp;base=LAW&amp;n=527200&amp;date=07.07.2026&amp;dst=100141&amp;field=134" TargetMode = "External"/><Relationship Id="rId256" Type="http://schemas.openxmlformats.org/officeDocument/2006/relationships/hyperlink" Target="https://login.consultant.ru/link/?req=doc&amp;base=LAW&amp;n=527200&amp;date=07.07.2026&amp;dst=100375&amp;field=134" TargetMode = "External"/><Relationship Id="rId257" Type="http://schemas.openxmlformats.org/officeDocument/2006/relationships/hyperlink" Target="https://login.consultant.ru/link/?req=doc&amp;base=LAW&amp;n=494960&amp;date=07.07.2026" TargetMode = "External"/><Relationship Id="rId258" Type="http://schemas.openxmlformats.org/officeDocument/2006/relationships/hyperlink" Target="https://login.consultant.ru/link/?req=doc&amp;base=LAW&amp;n=527200&amp;date=07.07.2026&amp;dst=384&amp;field=134" TargetMode = "External"/><Relationship Id="rId259" Type="http://schemas.openxmlformats.org/officeDocument/2006/relationships/hyperlink" Target="https://login.consultant.ru/link/?req=doc&amp;base=LAW&amp;n=527200&amp;date=07.07.2026&amp;dst=382&amp;field=134" TargetMode = "External"/><Relationship Id="rId260" Type="http://schemas.openxmlformats.org/officeDocument/2006/relationships/hyperlink" Target="https://login.consultant.ru/link/?req=doc&amp;base=LAW&amp;n=527200&amp;date=07.07.2026&amp;dst=100682&amp;field=134" TargetMode = "External"/><Relationship Id="rId261" Type="http://schemas.openxmlformats.org/officeDocument/2006/relationships/hyperlink" Target="https://login.consultant.ru/link/?req=doc&amp;base=LAW&amp;n=527200&amp;date=07.07.2026&amp;dst=111&amp;field=134" TargetMode = "External"/><Relationship Id="rId262" Type="http://schemas.openxmlformats.org/officeDocument/2006/relationships/hyperlink" Target="https://login.consultant.ru/link/?req=doc&amp;base=LAW&amp;n=141711&amp;date=07.07.2026&amp;dst=100003&amp;field=134" TargetMode = "External"/><Relationship Id="rId263" Type="http://schemas.openxmlformats.org/officeDocument/2006/relationships/hyperlink" Target="https://login.consultant.ru/link/?req=doc&amp;base=LAW&amp;n=519392&amp;date=07.07.2026" TargetMode = "External"/><Relationship Id="rId264" Type="http://schemas.openxmlformats.org/officeDocument/2006/relationships/hyperlink" Target="https://login.consultant.ru/link/?req=doc&amp;base=LAW&amp;n=431960&amp;date=07.07.2026" TargetMode = "External"/><Relationship Id="rId265" Type="http://schemas.openxmlformats.org/officeDocument/2006/relationships/hyperlink" Target="https://login.consultant.ru/link/?req=doc&amp;base=LAW&amp;n=503136&amp;date=07.07.2026&amp;dst=100013&amp;field=134" TargetMode = "External"/><Relationship Id="rId266" Type="http://schemas.openxmlformats.org/officeDocument/2006/relationships/hyperlink" Target="https://login.consultant.ru/link/?req=doc&amp;base=LAW&amp;n=527200&amp;date=07.07.2026&amp;dst=100682&amp;field=134" TargetMode = "External"/><Relationship Id="rId267" Type="http://schemas.openxmlformats.org/officeDocument/2006/relationships/hyperlink" Target="https://login.consultant.ru/link/?req=doc&amp;base=LAW&amp;n=494960&amp;date=07.07.2026" TargetMode = "External"/><Relationship Id="rId268" Type="http://schemas.openxmlformats.org/officeDocument/2006/relationships/hyperlink" Target="https://login.consultant.ru/link/?req=doc&amp;base=LAW&amp;n=527200&amp;date=07.07.2026" TargetMode = "External"/><Relationship Id="rId269" Type="http://schemas.openxmlformats.org/officeDocument/2006/relationships/image" Target="media/image11.png"/><Relationship Id="rId270" Type="http://schemas.openxmlformats.org/officeDocument/2006/relationships/hyperlink" Target="https://login.consultant.ru/link/?req=doc&amp;base=LAW&amp;n=510786&amp;date=07.07.2026" TargetMode = "External"/><Relationship Id="rId271" Type="http://schemas.openxmlformats.org/officeDocument/2006/relationships/hyperlink" Target="https://login.consultant.ru/link/?req=doc&amp;base=LAW&amp;n=476082&amp;date=07.07.2026" TargetMode = "External"/><Relationship Id="rId272" Type="http://schemas.openxmlformats.org/officeDocument/2006/relationships/hyperlink" Target="https://login.consultant.ru/link/?req=doc&amp;base=LAW&amp;n=510786&amp;date=07.07.2026" TargetMode = "External"/><Relationship Id="rId273" Type="http://schemas.openxmlformats.org/officeDocument/2006/relationships/hyperlink" Target="https://login.consultant.ru/link/?req=doc&amp;base=LAW&amp;n=538020&amp;date=07.07.2026" TargetMode = "External"/><Relationship Id="rId274" Type="http://schemas.openxmlformats.org/officeDocument/2006/relationships/image" Target="media/image12.png"/><Relationship Id="rId275" Type="http://schemas.openxmlformats.org/officeDocument/2006/relationships/hyperlink" Target="https://login.consultant.ru/link/?req=doc&amp;base=LAW&amp;n=476082&amp;date=07.07.2026" TargetMode = "External"/><Relationship Id="rId276" Type="http://schemas.openxmlformats.org/officeDocument/2006/relationships/image" Target="media/image13.png"/><Relationship Id="rId277" Type="http://schemas.openxmlformats.org/officeDocument/2006/relationships/image" Target="media/image14.png"/><Relationship Id="rId278" Type="http://schemas.openxmlformats.org/officeDocument/2006/relationships/hyperlink" Target="https://login.consultant.ru/link/?req=doc&amp;base=LAW&amp;n=536637&amp;date=07.07.2026" TargetMode = "External"/><Relationship Id="rId279" Type="http://schemas.openxmlformats.org/officeDocument/2006/relationships/hyperlink" Target="https://login.consultant.ru/link/?req=doc&amp;base=LAW&amp;n=516533&amp;date=07.07.2026" TargetMode = "External"/><Relationship Id="rId280" Type="http://schemas.openxmlformats.org/officeDocument/2006/relationships/hyperlink" Target="https://login.consultant.ru/link/?req=doc&amp;base=LAW&amp;n=516533&amp;date=07.07.2026" TargetMode = "External"/><Relationship Id="rId281" Type="http://schemas.openxmlformats.org/officeDocument/2006/relationships/hyperlink" Target="https://login.consultant.ru/link/?req=doc&amp;base=LAW&amp;n=516533&amp;date=07.07.2026" TargetMode = "External"/><Relationship Id="rId282" Type="http://schemas.openxmlformats.org/officeDocument/2006/relationships/hyperlink" Target="https://login.consultant.ru/link/?req=doc&amp;base=LAW&amp;n=458803&amp;date=07.07.2026&amp;dst=100008&amp;field=134" TargetMode = "External"/><Relationship Id="rId283" Type="http://schemas.openxmlformats.org/officeDocument/2006/relationships/hyperlink" Target="https://login.consultant.ru/link/?req=doc&amp;base=LAW&amp;n=149911&amp;date=07.07.2026" TargetMode = "External"/><Relationship Id="rId284" Type="http://schemas.openxmlformats.org/officeDocument/2006/relationships/hyperlink" Target="https://login.consultant.ru/link/?req=doc&amp;base=LAW&amp;n=149911&amp;date=07.07.2026" TargetMode = "External"/><Relationship Id="rId285" Type="http://schemas.openxmlformats.org/officeDocument/2006/relationships/hyperlink" Target="https://login.consultant.ru/link/?req=doc&amp;base=LAW&amp;n=527200&amp;date=07.07.2026&amp;dst=162&amp;field=134" TargetMode = "External"/><Relationship Id="rId286" Type="http://schemas.openxmlformats.org/officeDocument/2006/relationships/hyperlink" Target="https://login.consultant.ru/link/?req=doc&amp;base=LAW&amp;n=527200&amp;date=07.07.2026&amp;dst=162&amp;field=134" TargetMode = "External"/><Relationship Id="rId287" Type="http://schemas.openxmlformats.org/officeDocument/2006/relationships/hyperlink" Target="https://login.consultant.ru/link/?req=doc&amp;base=LAW&amp;n=527200&amp;date=07.07.2026&amp;dst=162&amp;field=134" TargetMode = "External"/><Relationship Id="rId288" Type="http://schemas.openxmlformats.org/officeDocument/2006/relationships/hyperlink" Target="https://login.consultant.ru/link/?req=doc&amp;base=LAW&amp;n=527200&amp;date=07.07.2026&amp;dst=197&amp;field=134" TargetMode = "External"/><Relationship Id="rId289" Type="http://schemas.openxmlformats.org/officeDocument/2006/relationships/hyperlink" Target="https://login.consultant.ru/link/?req=doc&amp;base=LAW&amp;n=527200&amp;date=07.07.2026&amp;dst=162&amp;field=134" TargetMode = "External"/><Relationship Id="rId290" Type="http://schemas.openxmlformats.org/officeDocument/2006/relationships/hyperlink" Target="https://login.consultant.ru/link/?req=doc&amp;base=LAW&amp;n=527200&amp;date=07.07.2026&amp;dst=162&amp;field=134" TargetMode = "External"/><Relationship Id="rId291" Type="http://schemas.openxmlformats.org/officeDocument/2006/relationships/hyperlink" Target="https://login.consultant.ru/link/?req=doc&amp;base=LAW&amp;n=2875&amp;date=07.07.2026" TargetMode = "External"/><Relationship Id="rId292" Type="http://schemas.openxmlformats.org/officeDocument/2006/relationships/hyperlink" Target="https://login.consultant.ru/link/?req=doc&amp;base=LAW&amp;n=527200&amp;date=07.07.2026&amp;dst=227&amp;field=134" TargetMode = "External"/><Relationship Id="rId293" Type="http://schemas.openxmlformats.org/officeDocument/2006/relationships/hyperlink" Target="https://login.consultant.ru/link/?req=doc&amp;base=LAW&amp;n=537952&amp;date=07.07.2026&amp;dst=100013&amp;field=134" TargetMode = "External"/><Relationship Id="rId294" Type="http://schemas.openxmlformats.org/officeDocument/2006/relationships/hyperlink" Target="https://login.consultant.ru/link/?req=doc&amp;base=LAW&amp;n=527200&amp;date=07.07.2026&amp;dst=183&amp;field=134" TargetMode = "External"/><Relationship Id="rId295" Type="http://schemas.openxmlformats.org/officeDocument/2006/relationships/hyperlink" Target="https://login.consultant.ru/link/?req=doc&amp;base=LAW&amp;n=141711&amp;date=07.07.2026&amp;dst=100003&amp;field=134" TargetMode = "External"/><Relationship Id="rId296" Type="http://schemas.openxmlformats.org/officeDocument/2006/relationships/hyperlink" Target="https://login.consultant.ru/link/?req=doc&amp;base=LAW&amp;n=519392&amp;date=07.07.2026" TargetMode = "External"/><Relationship Id="rId297" Type="http://schemas.openxmlformats.org/officeDocument/2006/relationships/hyperlink" Target="https://login.consultant.ru/link/?req=doc&amp;base=LAW&amp;n=141711&amp;date=07.07.2026&amp;dst=100005&amp;field=134" TargetMode = "External"/><Relationship Id="rId298" Type="http://schemas.openxmlformats.org/officeDocument/2006/relationships/hyperlink" Target="https://login.consultant.ru/link/?req=doc&amp;base=LAW&amp;n=537952&amp;date=07.07.2026&amp;dst=100013&amp;field=134" TargetMode = "External"/><Relationship Id="rId299" Type="http://schemas.openxmlformats.org/officeDocument/2006/relationships/hyperlink" Target="https://login.consultant.ru/link/?req=doc&amp;base=LAW&amp;n=527200&amp;date=07.07.2026&amp;dst=100332&amp;field=134" TargetMode = "External"/><Relationship Id="rId300" Type="http://schemas.openxmlformats.org/officeDocument/2006/relationships/hyperlink" Target="https://login.consultant.ru/link/?req=doc&amp;base=LAW&amp;n=527200&amp;date=07.07.2026&amp;dst=183&amp;field=134" TargetMode = "External"/><Relationship Id="rId301" Type="http://schemas.openxmlformats.org/officeDocument/2006/relationships/hyperlink" Target="https://login.consultant.ru/link/?req=doc&amp;base=LAW&amp;n=149911&amp;date=07.07.2026" TargetMode = "External"/><Relationship Id="rId302" Type="http://schemas.openxmlformats.org/officeDocument/2006/relationships/hyperlink" Target="https://login.consultant.ru/link/?req=doc&amp;base=LAW&amp;n=516533&amp;date=07.07.2026" TargetMode = "External"/><Relationship Id="rId303" Type="http://schemas.openxmlformats.org/officeDocument/2006/relationships/hyperlink" Target="https://login.consultant.ru/link/?req=doc&amp;base=LAW&amp;n=458803&amp;date=07.07.2026&amp;dst=100008&amp;field=134" TargetMode = "External"/><Relationship Id="rId304" Type="http://schemas.openxmlformats.org/officeDocument/2006/relationships/hyperlink" Target="https://login.consultant.ru/link/?req=doc&amp;base=LAW&amp;n=516533&amp;date=07.07.2026" TargetMode = "External"/><Relationship Id="rId305" Type="http://schemas.openxmlformats.org/officeDocument/2006/relationships/hyperlink" Target="https://login.consultant.ru/link/?req=doc&amp;base=LAW&amp;n=458803&amp;date=07.07.2026&amp;dst=100008&amp;field=134" TargetMode = "External"/><Relationship Id="rId306" Type="http://schemas.openxmlformats.org/officeDocument/2006/relationships/header" Target="header2.xml"/><Relationship Id="rId307" Type="http://schemas.openxmlformats.org/officeDocument/2006/relationships/footer" Target="footer2.xml"/><Relationship Id="rId308" Type="http://schemas.openxmlformats.org/officeDocument/2006/relationships/hyperlink" Target="https://login.consultant.ru/link/?req=doc&amp;base=LAW&amp;n=487390&amp;date=07.07.2026&amp;dst=100402&amp;field=134" TargetMode = "External"/><Relationship Id="rId309" Type="http://schemas.openxmlformats.org/officeDocument/2006/relationships/hyperlink" Target="https://login.consultant.ru/link/?req=doc&amp;base=LAW&amp;n=487390&amp;date=07.07.2026&amp;dst=100404&amp;field=134" TargetMode = "External"/><Relationship Id="rId310" Type="http://schemas.openxmlformats.org/officeDocument/2006/relationships/hyperlink" Target="https://login.consultant.ru/link/?req=doc&amp;base=LAW&amp;n=487390&amp;date=07.07.2026&amp;dst=100465&amp;field=134" TargetMode = "External"/><Relationship Id="rId311" Type="http://schemas.openxmlformats.org/officeDocument/2006/relationships/hyperlink" Target="https://login.consultant.ru/link/?req=doc&amp;base=LAW&amp;n=487390&amp;date=07.07.2026&amp;dst=100493&amp;field=134" TargetMode = "External"/><Relationship Id="rId312" Type="http://schemas.openxmlformats.org/officeDocument/2006/relationships/hyperlink" Target="https://login.consultant.ru/link/?req=doc&amp;base=LAW&amp;n=487390&amp;date=07.07.2026&amp;dst=100497&amp;field=134" TargetMode = "External"/><Relationship Id="rId313" Type="http://schemas.openxmlformats.org/officeDocument/2006/relationships/hyperlink" Target="https://login.consultant.ru/link/?req=doc&amp;base=LAW&amp;n=487390&amp;date=07.07.2026&amp;dst=100513&amp;field=134" TargetMode = "External"/><Relationship Id="rId314" Type="http://schemas.openxmlformats.org/officeDocument/2006/relationships/hyperlink" Target="https://login.consultant.ru/link/?req=doc&amp;base=LAW&amp;n=487390&amp;date=07.07.2026&amp;dst=100515&amp;field=134" TargetMode = "External"/><Relationship Id="rId315" Type="http://schemas.openxmlformats.org/officeDocument/2006/relationships/hyperlink" Target="https://login.consultant.ru/link/?req=doc&amp;base=LAW&amp;n=487390&amp;date=07.07.2026&amp;dst=100562&amp;field=134" TargetMode = "External"/><Relationship Id="rId316" Type="http://schemas.openxmlformats.org/officeDocument/2006/relationships/hyperlink" Target="https://login.consultant.ru/link/?req=doc&amp;base=LAW&amp;n=487390&amp;date=07.07.2026&amp;dst=100501&amp;field=134" TargetMode = "External"/><Relationship Id="rId317" Type="http://schemas.openxmlformats.org/officeDocument/2006/relationships/hyperlink" Target="https://login.consultant.ru/link/?req=doc&amp;base=LAW&amp;n=487390&amp;date=07.07.2026&amp;dst=100509&amp;field=134" TargetMode = "External"/><Relationship Id="rId318" Type="http://schemas.openxmlformats.org/officeDocument/2006/relationships/hyperlink" Target="https://login.consultant.ru/link/?req=doc&amp;base=LAW&amp;n=487390&amp;date=07.07.2026&amp;dst=100520&amp;field=134" TargetMode = "External"/><Relationship Id="rId319" Type="http://schemas.openxmlformats.org/officeDocument/2006/relationships/hyperlink" Target="https://login.consultant.ru/link/?req=doc&amp;base=LAW&amp;n=487390&amp;date=07.07.2026&amp;dst=100532&amp;field=134" TargetMode = "External"/><Relationship Id="rId320" Type="http://schemas.openxmlformats.org/officeDocument/2006/relationships/hyperlink" Target="https://login.consultant.ru/link/?req=doc&amp;base=LAW&amp;n=487390&amp;date=07.07.2026&amp;dst=100522&amp;field=134" TargetMode = "External"/><Relationship Id="rId321" Type="http://schemas.openxmlformats.org/officeDocument/2006/relationships/hyperlink" Target="https://login.consultant.ru/link/?req=doc&amp;base=LAW&amp;n=487390&amp;date=07.07.2026&amp;dst=100548&amp;field=134" TargetMode = "External"/><Relationship Id="rId322" Type="http://schemas.openxmlformats.org/officeDocument/2006/relationships/hyperlink" Target="https://login.consultant.ru/link/?req=doc&amp;base=LAW&amp;n=487390&amp;date=07.07.2026&amp;dst=100524&amp;field=134" TargetMode = "External"/><Relationship Id="rId323" Type="http://schemas.openxmlformats.org/officeDocument/2006/relationships/hyperlink" Target="https://login.consultant.ru/link/?req=doc&amp;base=LAW&amp;n=487390&amp;date=07.07.2026&amp;dst=100534&amp;field=134" TargetMode = "External"/><Relationship Id="rId324" Type="http://schemas.openxmlformats.org/officeDocument/2006/relationships/hyperlink" Target="https://login.consultant.ru/link/?req=doc&amp;base=LAW&amp;n=487390&amp;date=07.07.2026&amp;dst=100495&amp;field=134" TargetMode = "External"/><Relationship Id="rId325" Type="http://schemas.openxmlformats.org/officeDocument/2006/relationships/hyperlink" Target="https://login.consultant.ru/link/?req=doc&amp;base=LAW&amp;n=487390&amp;date=07.07.2026&amp;dst=100503&amp;field=134" TargetMode = "External"/><Relationship Id="rId326" Type="http://schemas.openxmlformats.org/officeDocument/2006/relationships/hyperlink" Target="https://login.consultant.ru/link/?req=doc&amp;base=LAW&amp;n=487390&amp;date=07.07.2026&amp;dst=100544&amp;field=134" TargetMode = "External"/><Relationship Id="rId327" Type="http://schemas.openxmlformats.org/officeDocument/2006/relationships/hyperlink" Target="https://login.consultant.ru/link/?req=doc&amp;base=LAW&amp;n=487390&amp;date=07.07.2026&amp;dst=100546&amp;field=134" TargetMode = "External"/><Relationship Id="rId328" Type="http://schemas.openxmlformats.org/officeDocument/2006/relationships/hyperlink" Target="https://login.consultant.ru/link/?req=doc&amp;base=LAW&amp;n=487390&amp;date=07.07.2026&amp;dst=100560&amp;field=134" TargetMode = "External"/><Relationship Id="rId329" Type="http://schemas.openxmlformats.org/officeDocument/2006/relationships/hyperlink" Target="https://login.consultant.ru/link/?req=doc&amp;base=LAW&amp;n=487390&amp;date=07.07.2026&amp;dst=100564&amp;field=134" TargetMode = "External"/><Relationship Id="rId330" Type="http://schemas.openxmlformats.org/officeDocument/2006/relationships/hyperlink" Target="https://login.consultant.ru/link/?req=doc&amp;base=LAW&amp;n=487390&amp;date=07.07.2026&amp;dst=100550&amp;field=134" TargetMode = "External"/><Relationship Id="rId331" Type="http://schemas.openxmlformats.org/officeDocument/2006/relationships/hyperlink" Target="https://login.consultant.ru/link/?req=doc&amp;base=LAW&amp;n=487390&amp;date=07.07.2026&amp;dst=100526&amp;field=134" TargetMode = "External"/><Relationship Id="rId332" Type="http://schemas.openxmlformats.org/officeDocument/2006/relationships/hyperlink" Target="https://login.consultant.ru/link/?req=doc&amp;base=LAW&amp;n=487390&amp;date=07.07.2026&amp;dst=100536&amp;field=134" TargetMode = "External"/><Relationship Id="rId333" Type="http://schemas.openxmlformats.org/officeDocument/2006/relationships/hyperlink" Target="https://login.consultant.ru/link/?req=doc&amp;base=LAW&amp;n=487390&amp;date=07.07.2026&amp;dst=100540&amp;field=134" TargetMode = "External"/><Relationship Id="rId334" Type="http://schemas.openxmlformats.org/officeDocument/2006/relationships/hyperlink" Target="https://login.consultant.ru/link/?req=doc&amp;base=LAW&amp;n=487390&amp;date=07.07.2026&amp;dst=100542&amp;field=134" TargetMode = "External"/><Relationship Id="rId335" Type="http://schemas.openxmlformats.org/officeDocument/2006/relationships/hyperlink" Target="https://login.consultant.ru/link/?req=doc&amp;base=LAW&amp;n=487390&amp;date=07.07.2026&amp;dst=100558&amp;field=134" TargetMode = "External"/><Relationship Id="rId336" Type="http://schemas.openxmlformats.org/officeDocument/2006/relationships/hyperlink" Target="https://login.consultant.ru/link/?req=doc&amp;base=LAW&amp;n=487390&amp;date=07.07.2026&amp;dst=100406&amp;field=134" TargetMode = "External"/><Relationship Id="rId337" Type="http://schemas.openxmlformats.org/officeDocument/2006/relationships/hyperlink" Target="https://login.consultant.ru/link/?req=doc&amp;base=LAW&amp;n=487390&amp;date=07.07.2026&amp;dst=100410&amp;field=134" TargetMode = "External"/><Relationship Id="rId338" Type="http://schemas.openxmlformats.org/officeDocument/2006/relationships/hyperlink" Target="https://login.consultant.ru/link/?req=doc&amp;base=LAW&amp;n=487390&amp;date=07.07.2026&amp;dst=100412&amp;field=134" TargetMode = "External"/><Relationship Id="rId339" Type="http://schemas.openxmlformats.org/officeDocument/2006/relationships/hyperlink" Target="https://login.consultant.ru/link/?req=doc&amp;base=LAW&amp;n=487390&amp;date=07.07.2026&amp;dst=100414&amp;field=134" TargetMode = "External"/><Relationship Id="rId340" Type="http://schemas.openxmlformats.org/officeDocument/2006/relationships/hyperlink" Target="https://login.consultant.ru/link/?req=doc&amp;base=LAW&amp;n=487390&amp;date=07.07.2026&amp;dst=100416&amp;field=134" TargetMode = "External"/><Relationship Id="rId341" Type="http://schemas.openxmlformats.org/officeDocument/2006/relationships/hyperlink" Target="https://login.consultant.ru/link/?req=doc&amp;base=LAW&amp;n=487390&amp;date=07.07.2026&amp;dst=100418&amp;field=134" TargetMode = "External"/><Relationship Id="rId342" Type="http://schemas.openxmlformats.org/officeDocument/2006/relationships/hyperlink" Target="https://login.consultant.ru/link/?req=doc&amp;base=LAW&amp;n=487390&amp;date=07.07.2026&amp;dst=100420&amp;field=134" TargetMode = "External"/><Relationship Id="rId343" Type="http://schemas.openxmlformats.org/officeDocument/2006/relationships/hyperlink" Target="https://login.consultant.ru/link/?req=doc&amp;base=LAW&amp;n=487390&amp;date=07.07.2026&amp;dst=100422&amp;field=134" TargetMode = "External"/><Relationship Id="rId344" Type="http://schemas.openxmlformats.org/officeDocument/2006/relationships/hyperlink" Target="https://login.consultant.ru/link/?req=doc&amp;base=LAW&amp;n=487390&amp;date=07.07.2026&amp;dst=100426&amp;field=134" TargetMode = "External"/><Relationship Id="rId345" Type="http://schemas.openxmlformats.org/officeDocument/2006/relationships/hyperlink" Target="https://login.consultant.ru/link/?req=doc&amp;base=LAW&amp;n=487390&amp;date=07.07.2026&amp;dst=100428&amp;field=134" TargetMode = "External"/><Relationship Id="rId346" Type="http://schemas.openxmlformats.org/officeDocument/2006/relationships/hyperlink" Target="https://login.consultant.ru/link/?req=doc&amp;base=LAW&amp;n=487390&amp;date=07.07.2026&amp;dst=100430&amp;field=134" TargetMode = "External"/><Relationship Id="rId347" Type="http://schemas.openxmlformats.org/officeDocument/2006/relationships/hyperlink" Target="https://login.consultant.ru/link/?req=doc&amp;base=LAW&amp;n=487390&amp;date=07.07.2026&amp;dst=100432&amp;field=134" TargetMode = "External"/><Relationship Id="rId348" Type="http://schemas.openxmlformats.org/officeDocument/2006/relationships/hyperlink" Target="https://login.consultant.ru/link/?req=doc&amp;base=LAW&amp;n=487390&amp;date=07.07.2026&amp;dst=100436&amp;field=134" TargetMode = "External"/><Relationship Id="rId349" Type="http://schemas.openxmlformats.org/officeDocument/2006/relationships/hyperlink" Target="https://login.consultant.ru/link/?req=doc&amp;base=LAW&amp;n=487390&amp;date=07.07.2026&amp;dst=100438&amp;field=134" TargetMode = "External"/><Relationship Id="rId350" Type="http://schemas.openxmlformats.org/officeDocument/2006/relationships/hyperlink" Target="https://login.consultant.ru/link/?req=doc&amp;base=LAW&amp;n=487390&amp;date=07.07.2026&amp;dst=100442&amp;field=134" TargetMode = "External"/><Relationship Id="rId351" Type="http://schemas.openxmlformats.org/officeDocument/2006/relationships/hyperlink" Target="https://login.consultant.ru/link/?req=doc&amp;base=LAW&amp;n=487390&amp;date=07.07.2026&amp;dst=100444&amp;field=134" TargetMode = "External"/><Relationship Id="rId352" Type="http://schemas.openxmlformats.org/officeDocument/2006/relationships/hyperlink" Target="https://login.consultant.ru/link/?req=doc&amp;base=LAW&amp;n=487390&amp;date=07.07.2026&amp;dst=100446&amp;field=134" TargetMode = "External"/><Relationship Id="rId353" Type="http://schemas.openxmlformats.org/officeDocument/2006/relationships/hyperlink" Target="https://login.consultant.ru/link/?req=doc&amp;base=LAW&amp;n=487390&amp;date=07.07.2026&amp;dst=100448&amp;field=134" TargetMode = "External"/><Relationship Id="rId354" Type="http://schemas.openxmlformats.org/officeDocument/2006/relationships/hyperlink" Target="https://login.consultant.ru/link/?req=doc&amp;base=LAW&amp;n=487390&amp;date=07.07.2026&amp;dst=100452&amp;field=134" TargetMode = "External"/><Relationship Id="rId355" Type="http://schemas.openxmlformats.org/officeDocument/2006/relationships/hyperlink" Target="https://login.consultant.ru/link/?req=doc&amp;base=LAW&amp;n=487390&amp;date=07.07.2026&amp;dst=100454&amp;field=134" TargetMode = "External"/><Relationship Id="rId356" Type="http://schemas.openxmlformats.org/officeDocument/2006/relationships/hyperlink" Target="https://login.consultant.ru/link/?req=doc&amp;base=LAW&amp;n=487390&amp;date=07.07.2026&amp;dst=100456&amp;field=134" TargetMode = "External"/><Relationship Id="rId357" Type="http://schemas.openxmlformats.org/officeDocument/2006/relationships/hyperlink" Target="https://login.consultant.ru/link/?req=doc&amp;base=LAW&amp;n=487390&amp;date=07.07.2026&amp;dst=100458&amp;field=134" TargetMode = "External"/><Relationship Id="rId358" Type="http://schemas.openxmlformats.org/officeDocument/2006/relationships/hyperlink" Target="https://login.consultant.ru/link/?req=doc&amp;base=LAW&amp;n=487390&amp;date=07.07.2026&amp;dst=100460&amp;field=134" TargetMode = "External"/><Relationship Id="rId359" Type="http://schemas.openxmlformats.org/officeDocument/2006/relationships/hyperlink" Target="https://login.consultant.ru/link/?req=doc&amp;base=LAW&amp;n=487390&amp;date=07.07.2026&amp;dst=100462&amp;field=134" TargetMode = "External"/><Relationship Id="rId360" Type="http://schemas.openxmlformats.org/officeDocument/2006/relationships/hyperlink" Target="https://login.consultant.ru/link/?req=doc&amp;base=LAW&amp;n=487390&amp;date=07.07.2026&amp;dst=100467&amp;field=134" TargetMode = "External"/><Relationship Id="rId361" Type="http://schemas.openxmlformats.org/officeDocument/2006/relationships/hyperlink" Target="https://login.consultant.ru/link/?req=doc&amp;base=LAW&amp;n=487390&amp;date=07.07.2026&amp;dst=100489&amp;field=134" TargetMode = "External"/><Relationship Id="rId362" Type="http://schemas.openxmlformats.org/officeDocument/2006/relationships/hyperlink" Target="https://login.consultant.ru/link/?req=doc&amp;base=LAW&amp;n=487390&amp;date=07.07.2026&amp;dst=100491&amp;field=134" TargetMode = "External"/><Relationship Id="rId363" Type="http://schemas.openxmlformats.org/officeDocument/2006/relationships/hyperlink" Target="https://login.consultant.ru/link/?req=doc&amp;base=LAW&amp;n=487390&amp;date=07.07.2026&amp;dst=100499&amp;field=134" TargetMode = "External"/><Relationship Id="rId364" Type="http://schemas.openxmlformats.org/officeDocument/2006/relationships/hyperlink" Target="https://login.consultant.ru/link/?req=doc&amp;base=LAW&amp;n=487390&amp;date=07.07.2026&amp;dst=100505&amp;field=134" TargetMode = "External"/><Relationship Id="rId365" Type="http://schemas.openxmlformats.org/officeDocument/2006/relationships/hyperlink" Target="https://login.consultant.ru/link/?req=doc&amp;base=LAW&amp;n=487390&amp;date=07.07.2026&amp;dst=100511&amp;field=134" TargetMode = "External"/><Relationship Id="rId366" Type="http://schemas.openxmlformats.org/officeDocument/2006/relationships/hyperlink" Target="https://login.consultant.ru/link/?req=doc&amp;base=LAW&amp;n=487390&amp;date=07.07.2026&amp;dst=120&amp;field=134" TargetMode = "External"/><Relationship Id="rId367" Type="http://schemas.openxmlformats.org/officeDocument/2006/relationships/hyperlink" Target="https://login.consultant.ru/link/?req=doc&amp;base=LAW&amp;n=487390&amp;date=07.07.2026&amp;dst=100528&amp;field=134" TargetMode = "External"/><Relationship Id="rId368" Type="http://schemas.openxmlformats.org/officeDocument/2006/relationships/hyperlink" Target="https://login.consultant.ru/link/?req=doc&amp;base=LAW&amp;n=487390&amp;date=07.07.2026&amp;dst=100538&amp;field=134" TargetMode = "External"/><Relationship Id="rId369" Type="http://schemas.openxmlformats.org/officeDocument/2006/relationships/hyperlink" Target="https://login.consultant.ru/link/?req=doc&amp;base=LAW&amp;n=487390&amp;date=07.07.2026&amp;dst=100552&amp;field=134" TargetMode = "External"/><Relationship Id="rId370" Type="http://schemas.openxmlformats.org/officeDocument/2006/relationships/hyperlink" Target="https://login.consultant.ru/link/?req=doc&amp;base=LAW&amp;n=487390&amp;date=07.07.2026&amp;dst=100554&amp;field=134" TargetMode = "External"/><Relationship Id="rId371" Type="http://schemas.openxmlformats.org/officeDocument/2006/relationships/hyperlink" Target="https://login.consultant.ru/link/?req=doc&amp;base=LAW&amp;n=487390&amp;date=07.07.2026&amp;dst=100556&amp;field=134" TargetMode = "External"/><Relationship Id="rId372" Type="http://schemas.openxmlformats.org/officeDocument/2006/relationships/hyperlink" Target="https://login.consultant.ru/link/?req=doc&amp;base=LAW&amp;n=487390&amp;date=07.07.2026&amp;dst=100410&amp;field=134" TargetMode = "External"/><Relationship Id="rId373" Type="http://schemas.openxmlformats.org/officeDocument/2006/relationships/hyperlink" Target="https://login.consultant.ru/link/?req=doc&amp;base=LAW&amp;n=487390&amp;date=07.07.2026&amp;dst=100412&amp;field=134" TargetMode = "External"/><Relationship Id="rId374" Type="http://schemas.openxmlformats.org/officeDocument/2006/relationships/hyperlink" Target="https://login.consultant.ru/link/?req=doc&amp;base=LAW&amp;n=487390&amp;date=07.07.2026&amp;dst=100414&amp;field=134" TargetMode = "External"/><Relationship Id="rId375" Type="http://schemas.openxmlformats.org/officeDocument/2006/relationships/hyperlink" Target="https://login.consultant.ru/link/?req=doc&amp;base=LAW&amp;n=487390&amp;date=07.07.2026&amp;dst=100416&amp;field=134" TargetMode = "External"/><Relationship Id="rId376" Type="http://schemas.openxmlformats.org/officeDocument/2006/relationships/hyperlink" Target="https://login.consultant.ru/link/?req=doc&amp;base=LAW&amp;n=487390&amp;date=07.07.2026&amp;dst=100418&amp;field=134" TargetMode = "External"/><Relationship Id="rId377" Type="http://schemas.openxmlformats.org/officeDocument/2006/relationships/hyperlink" Target="https://login.consultant.ru/link/?req=doc&amp;base=LAW&amp;n=487390&amp;date=07.07.2026&amp;dst=100420&amp;field=134" TargetMode = "External"/><Relationship Id="rId378" Type="http://schemas.openxmlformats.org/officeDocument/2006/relationships/hyperlink" Target="https://login.consultant.ru/link/?req=doc&amp;base=LAW&amp;n=487390&amp;date=07.07.2026&amp;dst=100422&amp;field=134" TargetMode = "External"/><Relationship Id="rId379" Type="http://schemas.openxmlformats.org/officeDocument/2006/relationships/hyperlink" Target="https://login.consultant.ru/link/?req=doc&amp;base=LAW&amp;n=487390&amp;date=07.07.2026&amp;dst=100426&amp;field=134" TargetMode = "External"/><Relationship Id="rId380" Type="http://schemas.openxmlformats.org/officeDocument/2006/relationships/hyperlink" Target="https://login.consultant.ru/link/?req=doc&amp;base=LAW&amp;n=487390&amp;date=07.07.2026&amp;dst=100428&amp;field=134" TargetMode = "External"/><Relationship Id="rId381" Type="http://schemas.openxmlformats.org/officeDocument/2006/relationships/hyperlink" Target="https://login.consultant.ru/link/?req=doc&amp;base=LAW&amp;n=487390&amp;date=07.07.2026&amp;dst=100430&amp;field=134" TargetMode = "External"/><Relationship Id="rId382" Type="http://schemas.openxmlformats.org/officeDocument/2006/relationships/hyperlink" Target="https://login.consultant.ru/link/?req=doc&amp;base=LAW&amp;n=487390&amp;date=07.07.2026&amp;dst=100432&amp;field=134" TargetMode = "External"/><Relationship Id="rId383" Type="http://schemas.openxmlformats.org/officeDocument/2006/relationships/hyperlink" Target="https://login.consultant.ru/link/?req=doc&amp;base=LAW&amp;n=487390&amp;date=07.07.2026&amp;dst=100436&amp;field=134" TargetMode = "External"/><Relationship Id="rId384" Type="http://schemas.openxmlformats.org/officeDocument/2006/relationships/hyperlink" Target="https://login.consultant.ru/link/?req=doc&amp;base=LAW&amp;n=487390&amp;date=07.07.2026&amp;dst=100438&amp;field=134" TargetMode = "External"/><Relationship Id="rId385" Type="http://schemas.openxmlformats.org/officeDocument/2006/relationships/hyperlink" Target="https://login.consultant.ru/link/?req=doc&amp;base=LAW&amp;n=487390&amp;date=07.07.2026&amp;dst=100442&amp;field=134" TargetMode = "External"/><Relationship Id="rId386" Type="http://schemas.openxmlformats.org/officeDocument/2006/relationships/hyperlink" Target="https://login.consultant.ru/link/?req=doc&amp;base=LAW&amp;n=487390&amp;date=07.07.2026&amp;dst=100444&amp;field=134" TargetMode = "External"/><Relationship Id="rId387" Type="http://schemas.openxmlformats.org/officeDocument/2006/relationships/hyperlink" Target="https://login.consultant.ru/link/?req=doc&amp;base=LAW&amp;n=487390&amp;date=07.07.2026&amp;dst=100446&amp;field=134" TargetMode = "External"/><Relationship Id="rId388" Type="http://schemas.openxmlformats.org/officeDocument/2006/relationships/hyperlink" Target="https://login.consultant.ru/link/?req=doc&amp;base=LAW&amp;n=487390&amp;date=07.07.2026&amp;dst=100448&amp;field=134" TargetMode = "External"/><Relationship Id="rId389" Type="http://schemas.openxmlformats.org/officeDocument/2006/relationships/hyperlink" Target="https://login.consultant.ru/link/?req=doc&amp;base=LAW&amp;n=487390&amp;date=07.07.2026&amp;dst=100452&amp;field=134" TargetMode = "External"/><Relationship Id="rId390" Type="http://schemas.openxmlformats.org/officeDocument/2006/relationships/hyperlink" Target="https://login.consultant.ru/link/?req=doc&amp;base=LAW&amp;n=487390&amp;date=07.07.2026&amp;dst=100454&amp;field=134" TargetMode = "External"/><Relationship Id="rId391" Type="http://schemas.openxmlformats.org/officeDocument/2006/relationships/hyperlink" Target="https://login.consultant.ru/link/?req=doc&amp;base=LAW&amp;n=487390&amp;date=07.07.2026&amp;dst=100456&amp;field=134" TargetMode = "External"/><Relationship Id="rId392" Type="http://schemas.openxmlformats.org/officeDocument/2006/relationships/hyperlink" Target="https://login.consultant.ru/link/?req=doc&amp;base=LAW&amp;n=487390&amp;date=07.07.2026&amp;dst=100458&amp;field=134" TargetMode = "External"/><Relationship Id="rId393" Type="http://schemas.openxmlformats.org/officeDocument/2006/relationships/hyperlink" Target="https://login.consultant.ru/link/?req=doc&amp;base=LAW&amp;n=487390&amp;date=07.07.2026&amp;dst=100460&amp;field=134" TargetMode = "External"/><Relationship Id="rId394" Type="http://schemas.openxmlformats.org/officeDocument/2006/relationships/hyperlink" Target="https://login.consultant.ru/link/?req=doc&amp;base=LAW&amp;n=487390&amp;date=07.07.2026&amp;dst=100462&amp;field=134" TargetMode = "External"/><Relationship Id="rId395" Type="http://schemas.openxmlformats.org/officeDocument/2006/relationships/hyperlink" Target="https://login.consultant.ru/link/?req=doc&amp;base=LAW&amp;n=487390&amp;date=07.07.2026&amp;dst=100499&amp;field=134" TargetMode = "External"/><Relationship Id="rId396" Type="http://schemas.openxmlformats.org/officeDocument/2006/relationships/hyperlink" Target="https://login.consultant.ru/link/?req=doc&amp;base=LAW&amp;n=487390&amp;date=07.07.2026&amp;dst=100501&amp;field=134" TargetMode = "External"/><Relationship Id="rId397" Type="http://schemas.openxmlformats.org/officeDocument/2006/relationships/hyperlink" Target="https://login.consultant.ru/link/?req=doc&amp;base=LAW&amp;n=487390&amp;date=07.07.2026&amp;dst=100503&amp;field=134" TargetMode = "External"/><Relationship Id="rId398" Type="http://schemas.openxmlformats.org/officeDocument/2006/relationships/hyperlink" Target="https://login.consultant.ru/link/?req=doc&amp;base=LAW&amp;n=487390&amp;date=07.07.2026&amp;dst=100505&amp;field=134" TargetMode = "External"/><Relationship Id="rId399" Type="http://schemas.openxmlformats.org/officeDocument/2006/relationships/hyperlink" Target="https://login.consultant.ru/link/?req=doc&amp;base=LAW&amp;n=487390&amp;date=07.07.2026&amp;dst=100520&amp;field=134" TargetMode = "External"/><Relationship Id="rId400" Type="http://schemas.openxmlformats.org/officeDocument/2006/relationships/hyperlink" Target="https://login.consultant.ru/link/?req=doc&amp;base=LAW&amp;n=487390&amp;date=07.07.2026&amp;dst=100522&amp;field=134" TargetMode = "External"/><Relationship Id="rId401" Type="http://schemas.openxmlformats.org/officeDocument/2006/relationships/hyperlink" Target="https://login.consultant.ru/link/?req=doc&amp;base=LAW&amp;n=487390&amp;date=07.07.2026&amp;dst=100532&amp;field=134" TargetMode = "External"/><Relationship Id="rId402" Type="http://schemas.openxmlformats.org/officeDocument/2006/relationships/hyperlink" Target="https://login.consultant.ru/link/?req=doc&amp;base=LAW&amp;n=487390&amp;date=07.07.2026&amp;dst=100548&amp;field=134" TargetMode = "External"/><Relationship Id="rId403" Type="http://schemas.openxmlformats.org/officeDocument/2006/relationships/hyperlink" Target="https://login.consultant.ru/link/?req=doc&amp;base=LAW&amp;n=487390&amp;date=07.07.2026&amp;dst=100560&amp;field=134" TargetMode = "External"/><Relationship Id="rId404" Type="http://schemas.openxmlformats.org/officeDocument/2006/relationships/hyperlink" Target="https://login.consultant.ru/link/?req=doc&amp;base=LAW&amp;n=487390&amp;date=07.07.2026&amp;dst=100402&amp;field=134" TargetMode = "External"/><Relationship Id="rId405" Type="http://schemas.openxmlformats.org/officeDocument/2006/relationships/hyperlink" Target="https://login.consultant.ru/link/?req=doc&amp;base=LAW&amp;n=487390&amp;date=07.07.2026&amp;dst=100406&amp;field=134" TargetMode = "External"/><Relationship Id="rId406" Type="http://schemas.openxmlformats.org/officeDocument/2006/relationships/hyperlink" Target="https://login.consultant.ru/link/?req=doc&amp;base=LAW&amp;n=487390&amp;date=07.07.2026&amp;dst=100465&amp;field=134" TargetMode = "External"/><Relationship Id="rId407" Type="http://schemas.openxmlformats.org/officeDocument/2006/relationships/hyperlink" Target="https://login.consultant.ru/link/?req=doc&amp;base=LAW&amp;n=487390&amp;date=07.07.2026&amp;dst=100489&amp;field=134" TargetMode = "External"/><Relationship Id="rId408" Type="http://schemas.openxmlformats.org/officeDocument/2006/relationships/hyperlink" Target="https://login.consultant.ru/link/?req=doc&amp;base=LAW&amp;n=487390&amp;date=07.07.2026&amp;dst=100491&amp;field=134" TargetMode = "External"/><Relationship Id="rId409" Type="http://schemas.openxmlformats.org/officeDocument/2006/relationships/hyperlink" Target="https://login.consultant.ru/link/?req=doc&amp;base=LAW&amp;n=487390&amp;date=07.07.2026&amp;dst=100509&amp;field=134" TargetMode = "External"/><Relationship Id="rId410" Type="http://schemas.openxmlformats.org/officeDocument/2006/relationships/hyperlink" Target="https://login.consultant.ru/link/?req=doc&amp;base=LAW&amp;n=487390&amp;date=07.07.2026&amp;dst=100513&amp;field=134" TargetMode = "External"/><Relationship Id="rId411" Type="http://schemas.openxmlformats.org/officeDocument/2006/relationships/hyperlink" Target="https://login.consultant.ru/link/?req=doc&amp;base=LAW&amp;n=487390&amp;date=07.07.2026&amp;dst=100515&amp;field=134" TargetMode = "External"/><Relationship Id="rId412" Type="http://schemas.openxmlformats.org/officeDocument/2006/relationships/hyperlink" Target="https://login.consultant.ru/link/?req=doc&amp;base=LAW&amp;n=487390&amp;date=07.07.2026&amp;dst=100524&amp;field=134" TargetMode = "External"/><Relationship Id="rId413" Type="http://schemas.openxmlformats.org/officeDocument/2006/relationships/hyperlink" Target="https://login.consultant.ru/link/?req=doc&amp;base=LAW&amp;n=487390&amp;date=07.07.2026&amp;dst=100534&amp;field=134" TargetMode = "External"/><Relationship Id="rId414" Type="http://schemas.openxmlformats.org/officeDocument/2006/relationships/hyperlink" Target="https://login.consultant.ru/link/?req=doc&amp;base=LAW&amp;n=487390&amp;date=07.07.2026&amp;dst=100546&amp;field=134" TargetMode = "External"/><Relationship Id="rId415" Type="http://schemas.openxmlformats.org/officeDocument/2006/relationships/hyperlink" Target="https://login.consultant.ru/link/?req=doc&amp;base=LAW&amp;n=487390&amp;date=07.07.2026&amp;dst=100552&amp;field=134" TargetMode = "External"/><Relationship Id="rId416" Type="http://schemas.openxmlformats.org/officeDocument/2006/relationships/hyperlink" Target="https://login.consultant.ru/link/?req=doc&amp;base=LAW&amp;n=487390&amp;date=07.07.2026&amp;dst=100554&amp;field=134" TargetMode = "External"/><Relationship Id="rId417" Type="http://schemas.openxmlformats.org/officeDocument/2006/relationships/hyperlink" Target="https://login.consultant.ru/link/?req=doc&amp;base=LAW&amp;n=487390&amp;date=07.07.2026&amp;dst=100556&amp;field=134" TargetMode = "External"/><Relationship Id="rId418" Type="http://schemas.openxmlformats.org/officeDocument/2006/relationships/hyperlink" Target="https://login.consultant.ru/link/?req=doc&amp;base=LAW&amp;n=487390&amp;date=07.07.2026&amp;dst=100562&amp;field=134" TargetMode = "External"/><Relationship Id="rId419" Type="http://schemas.openxmlformats.org/officeDocument/2006/relationships/hyperlink" Target="https://login.consultant.ru/link/?req=doc&amp;base=LAW&amp;n=487390&amp;date=07.07.2026&amp;dst=100495&amp;field=134" TargetMode = "External"/><Relationship Id="rId420" Type="http://schemas.openxmlformats.org/officeDocument/2006/relationships/hyperlink" Target="https://login.consultant.ru/link/?req=doc&amp;base=LAW&amp;n=487390&amp;date=07.07.2026&amp;dst=100558&amp;field=134" TargetMode = "External"/><Relationship Id="rId421" Type="http://schemas.openxmlformats.org/officeDocument/2006/relationships/hyperlink" Target="https://login.consultant.ru/link/?req=doc&amp;base=LAW&amp;n=487390&amp;date=07.07.2026&amp;dst=100497&amp;field=134" TargetMode = "External"/><Relationship Id="rId422" Type="http://schemas.openxmlformats.org/officeDocument/2006/relationships/hyperlink" Target="https://login.consultant.ru/link/?req=doc&amp;base=LAW&amp;n=487390&amp;date=07.07.2026&amp;dst=100544&amp;field=134" TargetMode = "External"/><Relationship Id="rId423" Type="http://schemas.openxmlformats.org/officeDocument/2006/relationships/hyperlink" Target="https://login.consultant.ru/link/?req=doc&amp;base=LAW&amp;n=487390&amp;date=07.07.2026&amp;dst=100564&amp;field=134" TargetMode = "External"/><Relationship Id="rId424" Type="http://schemas.openxmlformats.org/officeDocument/2006/relationships/hyperlink" Target="https://login.consultant.ru/link/?req=doc&amp;base=LAW&amp;n=487390&amp;date=07.07.2026&amp;dst=100404&amp;field=134" TargetMode = "External"/><Relationship Id="rId425" Type="http://schemas.openxmlformats.org/officeDocument/2006/relationships/hyperlink" Target="https://login.consultant.ru/link/?req=doc&amp;base=LAW&amp;n=487390&amp;date=07.07.2026&amp;dst=100493&amp;field=134" TargetMode = "External"/><Relationship Id="rId426" Type="http://schemas.openxmlformats.org/officeDocument/2006/relationships/hyperlink" Target="https://login.consultant.ru/link/?req=doc&amp;base=LAW&amp;n=487390&amp;date=07.07.2026&amp;dst=100511&amp;field=134" TargetMode = "External"/><Relationship Id="rId427" Type="http://schemas.openxmlformats.org/officeDocument/2006/relationships/hyperlink" Target="https://login.consultant.ru/link/?req=doc&amp;base=LAW&amp;n=487390&amp;date=07.07.2026&amp;dst=100526&amp;field=134" TargetMode = "External"/><Relationship Id="rId428" Type="http://schemas.openxmlformats.org/officeDocument/2006/relationships/hyperlink" Target="https://login.consultant.ru/link/?req=doc&amp;base=LAW&amp;n=487390&amp;date=07.07.2026&amp;dst=100536&amp;field=134" TargetMode = "External"/><Relationship Id="rId429" Type="http://schemas.openxmlformats.org/officeDocument/2006/relationships/hyperlink" Target="https://login.consultant.ru/link/?req=doc&amp;base=LAW&amp;n=487390&amp;date=07.07.2026&amp;dst=100540&amp;field=134" TargetMode = "External"/><Relationship Id="rId430" Type="http://schemas.openxmlformats.org/officeDocument/2006/relationships/hyperlink" Target="https://login.consultant.ru/link/?req=doc&amp;base=LAW&amp;n=487390&amp;date=07.07.2026&amp;dst=100542&amp;field=134" TargetMode = "External"/><Relationship Id="rId431" Type="http://schemas.openxmlformats.org/officeDocument/2006/relationships/hyperlink" Target="https://login.consultant.ru/link/?req=doc&amp;base=LAW&amp;n=487390&amp;date=07.07.2026&amp;dst=100550&amp;field=134" TargetMode = "External"/><Relationship Id="rId432" Type="http://schemas.openxmlformats.org/officeDocument/2006/relationships/hyperlink" Target="https://login.consultant.ru/link/?req=doc&amp;base=LAW&amp;n=487390&amp;date=07.07.2026&amp;dst=127&amp;field=134" TargetMode = "External"/><Relationship Id="rId433" Type="http://schemas.openxmlformats.org/officeDocument/2006/relationships/hyperlink" Target="https://login.consultant.ru/link/?req=doc&amp;base=LAW&amp;n=487390&amp;date=07.07.2026&amp;dst=135&amp;field=134" TargetMode = "External"/><Relationship Id="rId434" Type="http://schemas.openxmlformats.org/officeDocument/2006/relationships/hyperlink" Target="https://login.consultant.ru/link/?req=doc&amp;base=LAW&amp;n=487390&amp;date=07.07.2026&amp;dst=129&amp;field=134" TargetMode = "External"/><Relationship Id="rId435" Type="http://schemas.openxmlformats.org/officeDocument/2006/relationships/hyperlink" Target="https://login.consultant.ru/link/?req=doc&amp;base=LAW&amp;n=487390&amp;date=07.07.2026&amp;dst=137&amp;field=134" TargetMode = "External"/><Relationship Id="rId436" Type="http://schemas.openxmlformats.org/officeDocument/2006/relationships/hyperlink" Target="https://login.consultant.ru/link/?req=doc&amp;base=LAW&amp;n=487390&amp;date=07.07.2026&amp;dst=100467&amp;field=134" TargetMode = "External"/><Relationship Id="rId437" Type="http://schemas.openxmlformats.org/officeDocument/2006/relationships/hyperlink" Target="https://login.consultant.ru/link/?req=doc&amp;base=LAW&amp;n=487390&amp;date=07.07.2026&amp;dst=100528&amp;field=134" TargetMode = "External"/><Relationship Id="rId438" Type="http://schemas.openxmlformats.org/officeDocument/2006/relationships/hyperlink" Target="https://login.consultant.ru/link/?req=doc&amp;base=LAW&amp;n=487390&amp;date=07.07.2026&amp;dst=100538&amp;field=134" TargetMode = "External"/><Relationship Id="rId439" Type="http://schemas.openxmlformats.org/officeDocument/2006/relationships/hyperlink" Target="https://login.consultant.ru/link/?req=doc&amp;base=LAW&amp;n=487390&amp;date=07.07.2026&amp;dst=131&amp;field=134" TargetMode = "External"/><Relationship Id="rId440" Type="http://schemas.openxmlformats.org/officeDocument/2006/relationships/hyperlink" Target="https://login.consultant.ru/link/?req=doc&amp;base=LAW&amp;n=487390&amp;date=07.07.2026&amp;dst=139&amp;field=134" TargetMode = "External"/><Relationship Id="rId441" Type="http://schemas.openxmlformats.org/officeDocument/2006/relationships/hyperlink" Target="https://login.consultant.ru/link/?req=doc&amp;base=LAW&amp;n=487390&amp;date=07.07.2026&amp;dst=100398&amp;field=134" TargetMode = "External"/></Relationships>
</file>

<file path=word/_rels/foot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word/_rels/footer2.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word/_rels/head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word/_rels/header2.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docProps/app.xml><?xml version="1.0" encoding="utf-8"?>
<Properties xmlns="http://schemas.openxmlformats.org/officeDocument/2006/extended-properties" xmlns:vt="http://schemas.openxmlformats.org/officeDocument/2006/docPropsVTypes">
  <Application>КонсультантПлюс Версия 4025.00.50</Application>
  <Company>КонсультантПлюс Версия 4025.00.50</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Приказ Минздрава России от 21.08.2025 N 496н
"Об утверждении Правил обязательного медицинского страхования"
(Зарегистрировано в Минюсте России 29.08.2025 N 83407)</dc:title>
  <dcterms:created xsi:type="dcterms:W3CDTF">2026-07-07T13:07:46Z</dcterms:created>
</cp:coreProperties>
</file>